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1" w:rsidRPr="00E9486B" w:rsidRDefault="00D461C1" w:rsidP="00D461C1">
      <w:pPr>
        <w:ind w:left="567"/>
        <w:jc w:val="center"/>
        <w:outlineLvl w:val="1"/>
        <w:rPr>
          <w:b/>
          <w:bCs/>
          <w:sz w:val="30"/>
          <w:szCs w:val="30"/>
          <w:lang w:val="id-ID" w:eastAsia="id-ID"/>
        </w:rPr>
      </w:pPr>
      <w:r w:rsidRPr="00E9486B">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-85725</wp:posOffset>
            </wp:positionV>
            <wp:extent cx="895350" cy="828675"/>
            <wp:effectExtent l="0" t="0" r="0" b="9525"/>
            <wp:wrapNone/>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28675"/>
                    </a:xfrm>
                    <a:prstGeom prst="rect">
                      <a:avLst/>
                    </a:prstGeom>
                    <a:noFill/>
                  </pic:spPr>
                </pic:pic>
              </a:graphicData>
            </a:graphic>
          </wp:anchor>
        </w:drawing>
      </w:r>
      <w:r w:rsidR="00440C50" w:rsidRPr="00440C50">
        <w:rPr>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3.45pt;margin-top:-11.25pt;width:454.3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6n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" strokeweight="1.25pt"/>
        </w:pict>
      </w:r>
      <w:bookmarkStart w:id="0" w:name="_GoBack"/>
      <w:bookmarkEnd w:id="0"/>
      <w:r w:rsidRPr="00E9486B">
        <w:rPr>
          <w:b/>
          <w:bCs/>
          <w:sz w:val="30"/>
          <w:szCs w:val="30"/>
          <w:lang w:val="id-ID" w:eastAsia="id-ID"/>
        </w:rPr>
        <w:t>JURNALILMIAH KARYA KESEHATAN </w:t>
      </w:r>
    </w:p>
    <w:p w:rsidR="00906703" w:rsidRPr="0043797A" w:rsidRDefault="00906703" w:rsidP="00906703">
      <w:pPr>
        <w:ind w:left="567"/>
        <w:jc w:val="center"/>
        <w:outlineLvl w:val="1"/>
        <w:rPr>
          <w:b/>
          <w:bCs/>
          <w:lang w:val="id-ID" w:eastAsia="id-ID"/>
        </w:rPr>
      </w:pPr>
      <w:hyperlink r:id="rId9" w:history="1">
        <w:r w:rsidRPr="0043797A">
          <w:rPr>
            <w:rStyle w:val="Hyperlink"/>
            <w:bCs/>
            <w:lang w:val="id-ID" w:eastAsia="id-ID"/>
          </w:rPr>
          <w:t>https://stikesks-kendari.e-journal.id/JK</w:t>
        </w:r>
      </w:hyperlink>
    </w:p>
    <w:p w:rsidR="00906703" w:rsidRPr="0006323C" w:rsidRDefault="00906703" w:rsidP="00906703">
      <w:pPr>
        <w:ind w:left="567"/>
        <w:jc w:val="center"/>
        <w:outlineLvl w:val="1"/>
        <w:rPr>
          <w:bCs/>
          <w:lang w:val="en-ID" w:eastAsia="id-ID"/>
        </w:rPr>
      </w:pPr>
      <w:r w:rsidRPr="0006323C">
        <w:rPr>
          <w:bCs/>
          <w:lang w:val="id-ID" w:eastAsia="id-ID"/>
        </w:rPr>
        <w:t>Volume</w:t>
      </w:r>
      <w:r w:rsidRPr="0006323C">
        <w:rPr>
          <w:bCs/>
          <w:lang w:eastAsia="id-ID"/>
        </w:rPr>
        <w:t xml:space="preserve"> </w:t>
      </w:r>
      <w:r w:rsidRPr="0006323C">
        <w:rPr>
          <w:bCs/>
          <w:lang w:val="id-ID" w:eastAsia="id-ID"/>
        </w:rPr>
        <w:t>0</w:t>
      </w:r>
      <w:r w:rsidRPr="0006323C">
        <w:rPr>
          <w:bCs/>
          <w:lang w:val="en-ID" w:eastAsia="id-ID"/>
        </w:rPr>
        <w:t>3</w:t>
      </w:r>
      <w:r w:rsidRPr="0006323C">
        <w:rPr>
          <w:bCs/>
          <w:lang w:val="id-ID" w:eastAsia="id-ID"/>
        </w:rPr>
        <w:t xml:space="preserve"> |</w:t>
      </w:r>
      <w:r w:rsidRPr="0006323C">
        <w:rPr>
          <w:b/>
          <w:bCs/>
          <w:color w:val="FFFFFF"/>
          <w:lang w:eastAsia="id-ID"/>
        </w:rPr>
        <w:t xml:space="preserve"> </w:t>
      </w:r>
      <w:r w:rsidRPr="0006323C">
        <w:rPr>
          <w:bCs/>
          <w:lang w:val="id-ID" w:eastAsia="id-ID"/>
        </w:rPr>
        <w:t>Nomor</w:t>
      </w:r>
      <w:r w:rsidRPr="0006323C">
        <w:rPr>
          <w:bCs/>
          <w:color w:val="FFFFFF"/>
          <w:lang w:val="en-GB" w:eastAsia="id-ID"/>
        </w:rPr>
        <w:t>i</w:t>
      </w:r>
      <w:r w:rsidRPr="0006323C">
        <w:rPr>
          <w:b/>
          <w:bCs/>
          <w:color w:val="FFFFFF"/>
          <w:lang w:eastAsia="id-ID"/>
        </w:rPr>
        <w:t xml:space="preserve"> </w:t>
      </w:r>
      <w:r w:rsidRPr="0006323C">
        <w:rPr>
          <w:bCs/>
          <w:lang w:val="id-ID" w:eastAsia="id-ID"/>
        </w:rPr>
        <w:t>01 | November</w:t>
      </w:r>
      <w:r w:rsidRPr="0006323C">
        <w:rPr>
          <w:bCs/>
          <w:color w:val="FFFFFF"/>
          <w:lang w:val="en-GB" w:eastAsia="id-ID"/>
        </w:rPr>
        <w:t>i</w:t>
      </w:r>
      <w:r w:rsidRPr="0006323C">
        <w:rPr>
          <w:bCs/>
          <w:lang w:val="id-ID" w:eastAsia="id-ID"/>
        </w:rPr>
        <w:t xml:space="preserve">| </w:t>
      </w:r>
      <w:r w:rsidRPr="0006323C">
        <w:rPr>
          <w:bCs/>
          <w:lang w:val="en-ID" w:eastAsia="id-ID"/>
        </w:rPr>
        <w:t>2022</w:t>
      </w:r>
    </w:p>
    <w:p w:rsidR="00906703" w:rsidRPr="0006323C" w:rsidRDefault="00906703" w:rsidP="00906703">
      <w:pPr>
        <w:ind w:left="567"/>
        <w:jc w:val="center"/>
        <w:outlineLvl w:val="1"/>
        <w:rPr>
          <w:lang w:val="en-ID"/>
        </w:rPr>
      </w:pPr>
      <w:r w:rsidRPr="0006323C">
        <w:rPr>
          <w:lang w:val="id-ID"/>
        </w:rPr>
        <w:t xml:space="preserve">E-ISSN : </w:t>
      </w:r>
      <w:r w:rsidRPr="0006323C">
        <w:rPr>
          <w:lang w:val="en-ID"/>
        </w:rPr>
        <w:t>2747</w:t>
      </w:r>
      <w:r w:rsidRPr="0006323C">
        <w:rPr>
          <w:lang w:val="id-ID"/>
        </w:rPr>
        <w:t>-</w:t>
      </w:r>
      <w:r w:rsidRPr="0006323C">
        <w:rPr>
          <w:lang w:val="en-ID"/>
        </w:rPr>
        <w:t>2108</w:t>
      </w:r>
    </w:p>
    <w:p w:rsidR="00D461C1" w:rsidRPr="00E9486B" w:rsidRDefault="00440C50" w:rsidP="00D461C1">
      <w:pPr>
        <w:ind w:left="1134"/>
        <w:rPr>
          <w:rFonts w:eastAsia="Arial Unicode MS"/>
          <w:lang w:val="id-ID"/>
        </w:rPr>
      </w:pPr>
      <w:r w:rsidRPr="00440C50">
        <w:rPr>
          <w:noProof/>
        </w:rPr>
        <w:pict>
          <v:shape id="Straight Arrow Connector 3" o:spid="_x0000_s1028" type="#_x0000_t32" style="position:absolute;left:0;text-align:left;margin-left:.3pt;margin-top:7.3pt;width:454.3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" strokeweight="1.25pt"/>
        </w:pict>
      </w:r>
    </w:p>
    <w:p w:rsidR="00C52E85" w:rsidRPr="00CD690F" w:rsidRDefault="00FB2D8D" w:rsidP="00C52E85">
      <w:pPr>
        <w:spacing w:line="256" w:lineRule="auto"/>
        <w:jc w:val="both"/>
        <w:rPr>
          <w:sz w:val="28"/>
        </w:rPr>
      </w:pPr>
      <w:r w:rsidRPr="00CD690F">
        <w:rPr>
          <w:sz w:val="28"/>
        </w:rPr>
        <w:t xml:space="preserve">Hubungan </w:t>
      </w:r>
      <w:r w:rsidRPr="00CD690F">
        <w:rPr>
          <w:i/>
          <w:sz w:val="28"/>
        </w:rPr>
        <w:t>Respon Time</w:t>
      </w:r>
      <w:r w:rsidRPr="00CD690F">
        <w:rPr>
          <w:sz w:val="28"/>
        </w:rPr>
        <w:t xml:space="preserve"> Perawat dengan Kepercayaan Keluarga Pasien Triase </w:t>
      </w:r>
      <w:r w:rsidR="00CD690F">
        <w:rPr>
          <w:sz w:val="28"/>
        </w:rPr>
        <w:t>Kuning di Ruang Instalasi Gawat.</w:t>
      </w:r>
    </w:p>
    <w:p w:rsidR="00783827" w:rsidRPr="00906703" w:rsidRDefault="00783827" w:rsidP="00C52E85">
      <w:pPr>
        <w:spacing w:line="256" w:lineRule="auto"/>
        <w:jc w:val="both"/>
        <w:rPr>
          <w:rFonts w:eastAsia="Calibri"/>
          <w:color w:val="000000"/>
          <w:sz w:val="28"/>
        </w:rPr>
      </w:pPr>
    </w:p>
    <w:p w:rsidR="00D461C1" w:rsidRPr="00906703" w:rsidRDefault="00FB2D8D" w:rsidP="00906703">
      <w:pPr>
        <w:tabs>
          <w:tab w:val="left" w:pos="5205"/>
        </w:tabs>
        <w:rPr>
          <w:rFonts w:eastAsia="Arial Unicode MS"/>
          <w:b/>
        </w:rPr>
      </w:pPr>
      <w:r w:rsidRPr="00906703">
        <w:rPr>
          <w:rFonts w:eastAsia="Arial Unicode MS"/>
          <w:b/>
        </w:rPr>
        <w:t>Iskandar Harun Pratama</w:t>
      </w:r>
      <w:r w:rsidR="00D461C1" w:rsidRPr="00906703">
        <w:rPr>
          <w:rFonts w:eastAsia="Arial Unicode MS"/>
          <w:b/>
          <w:vertAlign w:val="superscript"/>
          <w:lang w:val="id-ID"/>
        </w:rPr>
        <w:t>1</w:t>
      </w:r>
      <w:r w:rsidR="00D461C1" w:rsidRPr="00906703">
        <w:rPr>
          <w:rFonts w:eastAsia="Arial Unicode MS"/>
          <w:b/>
        </w:rPr>
        <w:t xml:space="preserve">, </w:t>
      </w:r>
      <w:r w:rsidRPr="00906703">
        <w:rPr>
          <w:b/>
        </w:rPr>
        <w:t>I Wayan Romantika</w:t>
      </w:r>
      <w:r w:rsidR="00D461C1" w:rsidRPr="00906703">
        <w:rPr>
          <w:b/>
          <w:vertAlign w:val="superscript"/>
        </w:rPr>
        <w:t>2</w:t>
      </w:r>
      <w:r w:rsidR="00D461C1" w:rsidRPr="00906703">
        <w:rPr>
          <w:b/>
        </w:rPr>
        <w:t xml:space="preserve">, </w:t>
      </w:r>
      <w:r w:rsidRPr="00906703">
        <w:rPr>
          <w:b/>
          <w:szCs w:val="32"/>
        </w:rPr>
        <w:t>E</w:t>
      </w:r>
      <w:r w:rsidR="00C52E85" w:rsidRPr="00906703">
        <w:rPr>
          <w:b/>
          <w:szCs w:val="32"/>
        </w:rPr>
        <w:t>llyani Abadi</w:t>
      </w:r>
      <w:r w:rsidR="00D461C1" w:rsidRPr="00906703">
        <w:rPr>
          <w:b/>
          <w:vertAlign w:val="superscript"/>
        </w:rPr>
        <w:t>2</w:t>
      </w:r>
    </w:p>
    <w:p w:rsidR="00FB2D8D" w:rsidRPr="00E9486B" w:rsidRDefault="00FB2D8D" w:rsidP="00906703">
      <w:pPr>
        <w:rPr>
          <w:rFonts w:eastAsia="Arial Unicode MS"/>
          <w:vertAlign w:val="superscript"/>
        </w:rPr>
      </w:pPr>
      <w:r w:rsidRPr="00E9486B">
        <w:rPr>
          <w:rFonts w:eastAsia="Arial Unicode MS"/>
          <w:vertAlign w:val="superscript"/>
        </w:rPr>
        <w:t>1</w:t>
      </w:r>
      <w:r w:rsidR="00906703">
        <w:rPr>
          <w:rFonts w:eastAsia="Arial Unicode MS"/>
          <w:vertAlign w:val="superscript"/>
        </w:rPr>
        <w:t>23</w:t>
      </w:r>
      <w:r w:rsidR="00906703">
        <w:rPr>
          <w:rFonts w:eastAsia="Arial Unicode MS"/>
        </w:rPr>
        <w:t xml:space="preserve">Program Studi </w:t>
      </w:r>
      <w:r w:rsidRPr="00E9486B">
        <w:rPr>
          <w:rFonts w:eastAsia="Arial Unicode MS"/>
        </w:rPr>
        <w:t xml:space="preserve"> S1 Keperawatan Stikes Karya Kesehatan</w:t>
      </w:r>
    </w:p>
    <w:p w:rsidR="00906703" w:rsidRDefault="00906703" w:rsidP="00D461C1">
      <w:pPr>
        <w:tabs>
          <w:tab w:val="left" w:pos="2079"/>
        </w:tabs>
        <w:rPr>
          <w:rFonts w:eastAsia="Arial Unicode MS"/>
          <w:b/>
          <w:i/>
        </w:rPr>
      </w:pPr>
    </w:p>
    <w:p w:rsidR="00FB2D8D" w:rsidRPr="00E9486B" w:rsidRDefault="00FB2D8D" w:rsidP="00D461C1">
      <w:pPr>
        <w:tabs>
          <w:tab w:val="left" w:pos="2079"/>
        </w:tabs>
        <w:rPr>
          <w:rFonts w:eastAsia="Arial Unicode MS"/>
          <w:b/>
          <w:i/>
        </w:rPr>
      </w:pPr>
      <w:r w:rsidRPr="00E9486B">
        <w:rPr>
          <w:rFonts w:eastAsia="Arial Unicode MS"/>
          <w:b/>
          <w:i/>
        </w:rPr>
        <w:t>Correspondensi Author</w:t>
      </w:r>
    </w:p>
    <w:p w:rsidR="00D461C1" w:rsidRPr="00906703" w:rsidRDefault="00906703" w:rsidP="00FB2D8D">
      <w:pPr>
        <w:tabs>
          <w:tab w:val="left" w:pos="2079"/>
        </w:tabs>
        <w:rPr>
          <w:rFonts w:eastAsia="MS Mincho"/>
          <w:iCs/>
          <w:lang w:val="id-ID"/>
        </w:rPr>
      </w:pPr>
      <w:r w:rsidRPr="00906703">
        <w:rPr>
          <w:rFonts w:eastAsia="Arial Unicode MS"/>
          <w:i/>
        </w:rPr>
        <w:t xml:space="preserve">I Wayan Romantika </w:t>
      </w:r>
    </w:p>
    <w:p w:rsidR="008270C7" w:rsidRDefault="00D461C1" w:rsidP="008270C7">
      <w:pPr>
        <w:rPr>
          <w:rStyle w:val="fontstyle01"/>
          <w:rFonts w:eastAsia="Arial Unicode MS"/>
        </w:rPr>
      </w:pPr>
      <w:r w:rsidRPr="00E9486B">
        <w:rPr>
          <w:rStyle w:val="fontstyle01"/>
        </w:rPr>
        <w:t>Jl. AH.Nasution No. G 87 Andunohu,Kota Kendari</w:t>
      </w:r>
      <w:r w:rsidRPr="00E9486B">
        <w:rPr>
          <w:color w:val="000000"/>
        </w:rPr>
        <w:br/>
      </w:r>
      <w:r w:rsidRPr="00E9486B">
        <w:rPr>
          <w:rStyle w:val="fontstyle01"/>
        </w:rPr>
        <w:t>Email:</w:t>
      </w:r>
      <w:r w:rsidR="0037418B" w:rsidRPr="0037418B">
        <w:t xml:space="preserve"> </w:t>
      </w:r>
      <w:r w:rsidR="008270C7" w:rsidRPr="008270C7">
        <w:rPr>
          <w:rStyle w:val="fontstyle01"/>
        </w:rPr>
        <w:t>iwayanromantika@gmail.com</w:t>
      </w:r>
      <w:r w:rsidR="008270C7" w:rsidRPr="008270C7">
        <w:rPr>
          <w:rStyle w:val="fontstyle01"/>
          <w:rFonts w:eastAsia="Arial Unicode MS"/>
        </w:rPr>
        <w:t xml:space="preserve"> </w:t>
      </w:r>
    </w:p>
    <w:p w:rsidR="00AB62D2" w:rsidRDefault="00AB62D2" w:rsidP="008270C7">
      <w:pPr>
        <w:rPr>
          <w:rFonts w:eastAsia="Arial Unicode MS"/>
          <w:b/>
          <w:i/>
        </w:rPr>
      </w:pPr>
      <w:r>
        <w:rPr>
          <w:rFonts w:eastAsia="Arial Unicode MS"/>
          <w:b/>
          <w:i/>
        </w:rPr>
        <w:t>Kata Kunci :</w:t>
      </w:r>
      <w:r w:rsidRPr="00AB62D2">
        <w:rPr>
          <w:rFonts w:eastAsia="Calibri"/>
          <w:b/>
          <w:bCs/>
          <w:color w:val="000000"/>
        </w:rPr>
        <w:t xml:space="preserve"> </w:t>
      </w:r>
      <w:r w:rsidRPr="00E9486B">
        <w:rPr>
          <w:rFonts w:eastAsia="Calibri"/>
          <w:b/>
          <w:bCs/>
          <w:color w:val="000000"/>
        </w:rPr>
        <w:t>Respon Time, Kepercayaan, Triase Kuning</w:t>
      </w:r>
    </w:p>
    <w:p w:rsidR="00C52E85" w:rsidRPr="00783827" w:rsidRDefault="00D461C1" w:rsidP="00783827">
      <w:pPr>
        <w:ind w:right="362"/>
        <w:rPr>
          <w:rFonts w:eastAsia="Arial Unicode MS"/>
          <w:i/>
          <w:lang w:val="id-ID"/>
        </w:rPr>
      </w:pPr>
      <w:r w:rsidRPr="00E9486B">
        <w:rPr>
          <w:rFonts w:eastAsia="Arial Unicode MS"/>
          <w:b/>
          <w:i/>
        </w:rPr>
        <w:t>Key</w:t>
      </w:r>
      <w:r w:rsidRPr="00E9486B">
        <w:rPr>
          <w:rFonts w:eastAsia="Arial Unicode MS"/>
          <w:b/>
          <w:i/>
          <w:lang w:val="id-ID"/>
        </w:rPr>
        <w:t>w</w:t>
      </w:r>
      <w:r w:rsidRPr="00E9486B">
        <w:rPr>
          <w:rFonts w:eastAsia="Arial Unicode MS"/>
          <w:b/>
          <w:i/>
        </w:rPr>
        <w:t>ord</w:t>
      </w:r>
      <w:r w:rsidRPr="00E9486B">
        <w:rPr>
          <w:rFonts w:eastAsia="Arial Unicode MS"/>
          <w:b/>
          <w:i/>
          <w:lang w:val="id-ID"/>
        </w:rPr>
        <w:t>s</w:t>
      </w:r>
      <w:r w:rsidRPr="00E9486B">
        <w:rPr>
          <w:rFonts w:eastAsia="Arial Unicode MS"/>
          <w:i/>
        </w:rPr>
        <w:t xml:space="preserve"> : </w:t>
      </w:r>
      <w:r w:rsidR="00AB62D2" w:rsidRPr="00AB62D2">
        <w:rPr>
          <w:rFonts w:eastAsia="Arial Unicode MS"/>
          <w:i/>
        </w:rPr>
        <w:t>Response Time, Trust, Yellow Triage</w:t>
      </w:r>
      <w:r w:rsidR="00440C50" w:rsidRPr="00440C50">
        <w:rPr>
          <w:rFonts w:eastAsia="MS Mincho"/>
          <w:noProof/>
        </w:rPr>
        <w:pict>
          <v:shape id="Straight Arrow Connector 1" o:spid="_x0000_s1027" type="#_x0000_t32" style="position:absolute;margin-left:-3.45pt;margin-top:15.45pt;width:454.3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" strokeweight="1.25pt"/>
        </w:pict>
      </w:r>
    </w:p>
    <w:p w:rsidR="00D461C1" w:rsidRPr="00783827" w:rsidRDefault="00D461C1" w:rsidP="00D461C1">
      <w:pPr>
        <w:ind w:right="362"/>
        <w:rPr>
          <w:rFonts w:eastAsia="Arial Unicode MS"/>
          <w:lang w:val="en-ID"/>
        </w:rPr>
      </w:pPr>
    </w:p>
    <w:p w:rsidR="00AD6A2E" w:rsidRPr="00E9486B" w:rsidRDefault="00D461C1" w:rsidP="00AD6A2E">
      <w:pPr>
        <w:spacing w:line="256" w:lineRule="auto"/>
        <w:jc w:val="both"/>
        <w:rPr>
          <w:sz w:val="22"/>
          <w:szCs w:val="22"/>
        </w:rPr>
      </w:pPr>
      <w:r w:rsidRPr="00E9486B">
        <w:rPr>
          <w:rFonts w:eastAsia="Arial Unicode MS"/>
          <w:b/>
          <w:lang w:val="id-ID"/>
        </w:rPr>
        <w:t>Abstrak</w:t>
      </w:r>
      <w:r w:rsidR="00C52E85" w:rsidRPr="00E9486B">
        <w:rPr>
          <w:rFonts w:eastAsia="Arial Unicode MS"/>
          <w:b/>
        </w:rPr>
        <w:t xml:space="preserve">. </w:t>
      </w:r>
      <w:r w:rsidR="00AD6A2E" w:rsidRPr="00E9486B">
        <w:t xml:space="preserve">Response time merupakann kecepatan dalam penanganan pasien, dihitung sejak pasien datang sampai adanya tanggapan dari perawat. Dalam melakukan pelayanan gawat darurat dilakukan triase untuk menentukan kebutuhan prioritas pasien. </w:t>
      </w:r>
      <w:r w:rsidR="00AD6A2E" w:rsidRPr="00E9486B">
        <w:rPr>
          <w:color w:val="000000"/>
        </w:rPr>
        <w:t xml:space="preserve">Penelitian ini bertujuan mengetahui </w:t>
      </w:r>
      <w:r w:rsidR="00AD6A2E" w:rsidRPr="00E9486B">
        <w:t xml:space="preserve">hubungan </w:t>
      </w:r>
      <w:r w:rsidR="00AD6A2E" w:rsidRPr="00E9486B">
        <w:rPr>
          <w:i/>
        </w:rPr>
        <w:t>respon time</w:t>
      </w:r>
      <w:r w:rsidR="00AD6A2E" w:rsidRPr="00E9486B">
        <w:t xml:space="preserve"> perawat dengan kepercayaan keluarga pasien triase kuning. </w:t>
      </w:r>
      <w:r w:rsidR="00AD6A2E" w:rsidRPr="00E9486B">
        <w:rPr>
          <w:color w:val="000000"/>
        </w:rPr>
        <w:t xml:space="preserve">Penelitian dilaksanakan dengan </w:t>
      </w:r>
      <w:r w:rsidR="00AD6A2E" w:rsidRPr="00E9486B">
        <w:t xml:space="preserve">pendekatan </w:t>
      </w:r>
      <w:r w:rsidR="00AD6A2E" w:rsidRPr="00E9486B">
        <w:rPr>
          <w:i/>
        </w:rPr>
        <w:t>cross sectional</w:t>
      </w:r>
      <w:r w:rsidR="00AD6A2E" w:rsidRPr="00E9486B">
        <w:rPr>
          <w:i/>
          <w:color w:val="000000"/>
        </w:rPr>
        <w:t>study.</w:t>
      </w:r>
      <w:r w:rsidR="00AD6A2E" w:rsidRPr="00E9486B">
        <w:rPr>
          <w:color w:val="000000"/>
        </w:rPr>
        <w:t xml:space="preserve"> Populasi dalam penelitian ini </w:t>
      </w:r>
      <w:r w:rsidR="00AD6A2E" w:rsidRPr="00E9486B">
        <w:t>seluruh keluarga</w:t>
      </w:r>
      <w:r w:rsidR="00AD6A2E" w:rsidRPr="00E9486B">
        <w:rPr>
          <w:lang w:val="en-ID"/>
        </w:rPr>
        <w:t>pasien yang datang berkunjung ke Unit Gawat Darurat  dengan jumlah populasi 30 keluarga pasien</w:t>
      </w:r>
      <w:r w:rsidR="00AD6A2E" w:rsidRPr="00E9486B">
        <w:rPr>
          <w:i/>
          <w:lang w:val="en-ID"/>
        </w:rPr>
        <w:t xml:space="preserve"> triase</w:t>
      </w:r>
      <w:r w:rsidR="00AD6A2E" w:rsidRPr="00E9486B">
        <w:rPr>
          <w:lang w:val="en-ID"/>
        </w:rPr>
        <w:t xml:space="preserve"> kuning </w:t>
      </w:r>
      <w:r w:rsidR="00AD6A2E" w:rsidRPr="00E9486B">
        <w:t xml:space="preserve"> dengan jumlah sampel sebanyak 30 orang diambil dengan teknik </w:t>
      </w:r>
      <w:r w:rsidR="00AD6A2E" w:rsidRPr="00E9486B">
        <w:rPr>
          <w:i/>
        </w:rPr>
        <w:t>Total Sampling</w:t>
      </w:r>
      <w:r w:rsidR="00AD6A2E" w:rsidRPr="00E9486B">
        <w:t xml:space="preserve">. </w:t>
      </w:r>
      <w:r w:rsidR="00AD6A2E" w:rsidRPr="00E9486B">
        <w:rPr>
          <w:color w:val="000000"/>
        </w:rPr>
        <w:t>Variabel penelitian adalah Respon Time dan Kepercayaan Keluarga. Hasil penelitian menunjukkan s</w:t>
      </w:r>
      <w:r w:rsidR="00AD6A2E" w:rsidRPr="00E9486B">
        <w:t xml:space="preserve">ebagian besar </w:t>
      </w:r>
      <w:r w:rsidR="00AD6A2E" w:rsidRPr="00E9486B">
        <w:rPr>
          <w:i/>
        </w:rPr>
        <w:t>respon time</w:t>
      </w:r>
      <w:r w:rsidR="00AD6A2E" w:rsidRPr="00E9486B">
        <w:t xml:space="preserve"> kategori cepat yakni sebanyak </w:t>
      </w:r>
      <w:r w:rsidR="00AD6A2E" w:rsidRPr="00E9486B">
        <w:rPr>
          <w:color w:val="000000"/>
        </w:rPr>
        <w:t>18 orang (60.0%), s</w:t>
      </w:r>
      <w:r w:rsidR="00AD6A2E" w:rsidRPr="00E9486B">
        <w:t>ebagian besar responden adalah percaya kepada perawat dalam memberikan pelayanan yakni 17 orang (56.7%) dan ada hubungan cukup kuat antara respon time perawat dengan tingkat kepercayaan keluarga pasien triase kuning</w:t>
      </w:r>
      <w:r w:rsidR="00AD6A2E" w:rsidRPr="00E9486B">
        <w:rPr>
          <w:szCs w:val="32"/>
        </w:rPr>
        <w:t xml:space="preserve">dengan nilai </w:t>
      </w:r>
      <w:r w:rsidR="00AD6A2E" w:rsidRPr="00E9486B">
        <w:rPr>
          <w:i/>
          <w:szCs w:val="32"/>
        </w:rPr>
        <w:t>pvalue</w:t>
      </w:r>
      <w:r w:rsidR="00AD6A2E" w:rsidRPr="00E9486B">
        <w:rPr>
          <w:szCs w:val="32"/>
        </w:rPr>
        <w:t xml:space="preserve"> = 0.004 dan nilai phi = 0.522</w:t>
      </w:r>
      <w:r w:rsidR="00AD6A2E" w:rsidRPr="00E9486B">
        <w:t xml:space="preserve"> dalam untuk meningkatkan kepercayaan pasien dan keluarga </w:t>
      </w:r>
      <w:r w:rsidR="00AD6A2E" w:rsidRPr="00E9486B">
        <w:rPr>
          <w:lang w:val="en-ID"/>
        </w:rPr>
        <w:t>terhadap pelayananaa rumah sakit</w:t>
      </w:r>
    </w:p>
    <w:p w:rsidR="00C52E85" w:rsidRPr="00E9486B" w:rsidRDefault="00C52E85" w:rsidP="00C52E85">
      <w:pPr>
        <w:ind w:right="95"/>
        <w:jc w:val="both"/>
      </w:pPr>
    </w:p>
    <w:p w:rsidR="00D461C1" w:rsidRPr="00906703" w:rsidRDefault="00D461C1" w:rsidP="00906703">
      <w:pPr>
        <w:spacing w:line="256" w:lineRule="auto"/>
        <w:jc w:val="both"/>
        <w:rPr>
          <w:rFonts w:eastAsia="MS Mincho"/>
          <w:i/>
        </w:rPr>
        <w:sectPr w:rsidR="00D461C1" w:rsidRPr="00906703" w:rsidSect="00906703">
          <w:footerReference w:type="default" r:id="rId10"/>
          <w:pgSz w:w="11906" w:h="16838"/>
          <w:pgMar w:top="1440" w:right="1440" w:bottom="1440" w:left="1440" w:header="1134" w:footer="567" w:gutter="0"/>
          <w:pgNumType w:start="31"/>
          <w:cols w:space="720"/>
        </w:sectPr>
      </w:pPr>
      <w:r w:rsidRPr="00E9486B">
        <w:rPr>
          <w:rFonts w:eastAsia="Arial Unicode MS"/>
          <w:b/>
          <w:i/>
          <w:lang w:val="id-ID"/>
        </w:rPr>
        <w:t>Absctract</w:t>
      </w:r>
      <w:r w:rsidR="00C52E85" w:rsidRPr="00E9486B">
        <w:rPr>
          <w:rFonts w:eastAsia="Arial Unicode MS"/>
          <w:b/>
          <w:i/>
        </w:rPr>
        <w:t xml:space="preserve">. </w:t>
      </w:r>
      <w:r w:rsidR="00AD6A2E" w:rsidRPr="00E9486B">
        <w:rPr>
          <w:i/>
        </w:rPr>
        <w:t>Response time is the speed in handling patients, calculated from the time the patient arrives until the nurse responds. In conducting emergency services, triage is carried out to determine patient priority needs. This study aims to determine the relationship between nurse response time and family trust of yellow triage patients. This research was conducted with a cross sectional study approach. The population in this study were all patient families who came to visit the Emergency Unit with a total population of 30 families of yellow triage patients with a total sample of 30 people who were taken using the total sampling technique. The research variables were Response Time and Family Trust. The results showed most of the response time in the fast category was 18 people (60.0%), most of the respondents believed in nurses in providing services, namely 17 people (56.7%) and there was a strong enough relationship between the response time of nurses and the level of family trust of the triage patient. yellow with p value = 0.004. The suggestion in this research is that the hospital formulates policies in order to increase patient and fa</w:t>
      </w:r>
      <w:r w:rsidR="00906703">
        <w:rPr>
          <w:i/>
        </w:rPr>
        <w:t>mily trust in hospital service</w:t>
      </w:r>
    </w:p>
    <w:p w:rsidR="00D461C1" w:rsidRPr="00E9486B" w:rsidRDefault="00D461C1" w:rsidP="00D461C1">
      <w:pPr>
        <w:ind w:right="362"/>
        <w:jc w:val="both"/>
        <w:rPr>
          <w:rFonts w:eastAsia="Arial Unicode MS"/>
          <w:b/>
        </w:rPr>
      </w:pPr>
      <w:r w:rsidRPr="00E9486B">
        <w:rPr>
          <w:rFonts w:eastAsia="Arial Unicode MS"/>
          <w:b/>
          <w:lang w:val="id-ID"/>
        </w:rPr>
        <w:lastRenderedPageBreak/>
        <w:t>Pendahuluan</w:t>
      </w:r>
    </w:p>
    <w:p w:rsidR="00AD6A2E" w:rsidRPr="00E9486B" w:rsidRDefault="00AD6A2E" w:rsidP="00AD6A2E">
      <w:pPr>
        <w:ind w:right="48" w:firstLine="567"/>
        <w:jc w:val="both"/>
        <w:rPr>
          <w:lang w:val="id-ID"/>
        </w:rPr>
      </w:pPr>
      <w:r w:rsidRPr="00E9486B">
        <w:t xml:space="preserve">Response time merupakann kecepatan dalam penanganan pasien, dihitung sejak pasien datang sampai adanya tanggapan dari perawat </w:t>
      </w:r>
      <w:r w:rsidR="00440C50" w:rsidRPr="00E9486B">
        <w:fldChar w:fldCharType="begin" w:fldLock="1"/>
      </w:r>
      <w:r w:rsidR="00B52B01">
        <w:instrText>ADDIN CSL_CITATION {"citationItems":[{"id":"ITEM-1","itemData":{"DOI":"10.32660/jurnal.v5i1.330","ISSN":"2407-7232","abstract":"Response Time merupakan kecepatan dalam penanganan pasien oleh perawat ≤5 menit saat tibanya pasien di unit pelayanan kesehatan. Response Time dengan penanganan kecepatan yang sudah berstandar dapat menjadi proses pelayanan yang baik di IGD sehingga pasien dapat merasakan kepuasan dari pelayanan keperawatan. Penelitian ini bertujuan untuk mengetahui hubungan Response Time Perawat dengan Tingkat Kepuasan Pasien BPJS di Instalasi Gawat Darurat Rumah Sakit Santa Elisabeth Medan. Desain penelitian menggunakan rancangan survey analitik dengan metode cross sectional. Teknik pengambilan sampel dalam penelitian ini menggunakan purposive sampling dengan sampel pasien BPJS yang berobat di IGD Rumah Sakit Santa Elisabeth Medan sebanyak 87 responden. Instrumen yang digunakan yaitu lembar observasi Response Time Perawat dan lembar kuesioner Tingkat Kepuasan Pasien. Response Time perawat sebanyak 82,8% “tepat” yaitu ≤5 menit dan Tingkat Kepuasan pasien BPJS sebanyak 75,9%  “puas”. Hasil uji Fisher’s Exact didapatkan p=0,007 (p&lt;0,05), menunjukkan ada hubungan Response Time Perawat dengan Tingkat Kepuasan Pasien BPJS di Ruangan IGD Rumah Sakit Santa Elisabeth Medan Tahun 2018. Diharapkan agar Response Time perawat tetap ditingkatkan dalam melakukan tindakan pelayanan dan memodifikasi ruangan yang ada sebagai ruang tunggu keluarga di ruangan IGD untuk meningkatkan mutu pelayanan Rumah Sakit, sehingga tingkat kepuasan pasien lebih baik lagi.","author":[{"dropping-particle":"","family":"Sinurat","given":"Samfriati","non-dropping-particle":"","parse-names":false,"suffix":""},{"dropping-particle":"","family":"Perangin-angin","given":"Indra Hizkia","non-dropping-particle":"","parse-names":false,"suffix":""},{"dropping-particle":"","family":"Sepuh","given":"Josephine Christabel Lombu","non-dropping-particle":"","parse-names":false,"suffix":""}],"container-title":"Jurnal Penelitian Keperawatan","id":"ITEM-1","issue":"1","issued":{"date-parts":[["2019"]]},"title":"Hubungan Response Time Perawat Dengan Tingkat Kepuasan Pasien Bpjs Di Instalasi Gawat Darurat","type":"article-journal","volume":"5"},"uris":["http://www.mendeley.com/documents/?uuid=0d2cb33f-eaac-4a36-9fb8-1d3bef4de538","http://www.mendeley.com/documents/?uuid=1d821ac7-6e42-4223-8fe1-2e338c5e28e0"]}],"mendeley":{"formattedCitation":"&lt;span style=\"baseline\"&gt;(1)&lt;/span&gt;","plainTextFormattedCitation":"(1)","previouslyFormattedCitation":"&lt;span style=\"baseline\"&gt;(1)&lt;/span&gt;"},"properties":{"noteIndex":0},"schema":"https://github.com/citation-style-language/schema/raw/master/csl-citation.json"}</w:instrText>
      </w:r>
      <w:r w:rsidR="00440C50" w:rsidRPr="00E9486B">
        <w:fldChar w:fldCharType="separate"/>
      </w:r>
      <w:r w:rsidR="00B52B01" w:rsidRPr="00B52B01">
        <w:rPr>
          <w:noProof/>
        </w:rPr>
        <w:t>(1)</w:t>
      </w:r>
      <w:r w:rsidR="00440C50" w:rsidRPr="00E9486B">
        <w:fldChar w:fldCharType="end"/>
      </w:r>
      <w:r w:rsidRPr="00E9486B">
        <w:t xml:space="preserve">. Response time atau ketepatan waktu yang diberikan oleh perawat pada pasien yang datang ke Instalasi Gawat Darurat memerlukan standar sesuai dengan kompetensi dan kemampuannya sehingga dapat menjamin suatu penanganan gawat darurat dengan response time yang cepat dan penangananan yang tepat. Respons time merupakan waktu antara dari permulaan suatu permintaan ditanggapi dengan kata lain dapat disebut waktu tanggap. Waktu tanggap yang baik bagi pasien yaitu ≤ 5 menit </w:t>
      </w:r>
      <w:r w:rsidR="00440C50" w:rsidRPr="00E9486B">
        <w:fldChar w:fldCharType="begin" w:fldLock="1"/>
      </w:r>
      <w:r w:rsidR="00B52B01">
        <w:instrText>ADDIN CSL_CITATION {"citationItems":[{"id":"ITEM-1","itemData":{"author":[{"dropping-particle":"","family":"Rembet","given":"Mario Alan","non-dropping-particle":"","parse-names":false,"suffix":""}],"container-title":"Jurnal Penelitian Keperawatan","id":"ITEM-1","issue":"September","issued":{"date-parts":[["2015"]]},"page":"1-8","title":"Hubungan Respon Time Perawat Dengan Tingkat Kepercayaan Keluarga Pasien Pada Triase Kuning (Urgent) Di Instalasi Gawat Darurat RSU GMIM Kalooran Amurang","type":"article-journal","volume":"3"},"uris":["http://www.mendeley.com/documents/?uuid=d20cadda-0230-4b9e-892d-df824a52fba2","http://www.mendeley.com/documents/?uuid=2d9ef23f-3829-4955-8d38-78586cc82569"]}],"mendeley":{"formattedCitation":"&lt;span style=\"baseline\"&gt;(2)&lt;/span&gt;","plainTextFormattedCitation":"(2)","previouslyFormattedCitation":"&lt;span style=\"baseline\"&gt;(2)&lt;/span&gt;"},"properties":{"noteIndex":0},"schema":"https://github.com/citation-style-language/schema/raw/master/csl-citation.json"}</w:instrText>
      </w:r>
      <w:r w:rsidR="00440C50" w:rsidRPr="00E9486B">
        <w:fldChar w:fldCharType="separate"/>
      </w:r>
      <w:r w:rsidR="00B52B01" w:rsidRPr="00B52B01">
        <w:rPr>
          <w:noProof/>
        </w:rPr>
        <w:t>(2)</w:t>
      </w:r>
      <w:r w:rsidR="00440C50" w:rsidRPr="00E9486B">
        <w:fldChar w:fldCharType="end"/>
      </w:r>
    </w:p>
    <w:p w:rsidR="00AD6A2E" w:rsidRPr="00E9486B" w:rsidRDefault="00AD6A2E" w:rsidP="00AD6A2E">
      <w:pPr>
        <w:ind w:right="48" w:firstLine="567"/>
        <w:jc w:val="both"/>
      </w:pPr>
      <w:r w:rsidRPr="00E9486B">
        <w:t xml:space="preserve">Pasien yang masuk melalui Instalasi Gawat Darurat biasanya diantar oleh keluarganya untuk mendapatkan tindakan segera. Dalam melakukan pelayanan keperawatan khususnya diruang Instalasi Gawat Darurat dibutuhkan respon time segera  sesuai kondisi pasien saat pertama kali masuk. Sehingga, dilakukan triase untuk menentukan kebutuhan prioritas pasien. Respon time sangat dibutuhkan untuk menentukan keberhasilan dalam melakukan tindakan pertama kali pada pasien. Dengan respon time yang tepat dapat memberikan kepercayan dan kepuasan keluarga pasien kepada petugas dalam melakukan tindakan yang sesuai dengan kebutuhan pasien </w:t>
      </w:r>
      <w:r w:rsidR="00440C50" w:rsidRPr="00E9486B">
        <w:fldChar w:fldCharType="begin" w:fldLock="1"/>
      </w:r>
      <w:r w:rsidR="00B52B01">
        <w:instrText>ADDIN CSL_CITATION {"citationItems":[{"id":"ITEM-1","itemData":{"author":[{"dropping-particle":"","family":"Septiana Dian Pratiwi1, Nabhani2","given":"Nanang Sri Mujiono3","non-dropping-particle":"","parse-names":false,"suffix":""}],"container-title":"Jurnal Penelitian Keperawatan","id":"ITEM-1","issued":{"date-parts":[["2017"]]},"page":"12","title":"Hubungan Respon Time Dengan Triase dan Penatalaksanaan Pasien Instalasi Gawat Darurat","type":"article-journal","volume":"05"},"uris":["http://www.mendeley.com/documents/?uuid=1afd2fb9-1ac7-4527-b3ee-846d89901af0","http://www.mendeley.com/documents/?uuid=a2cfb4df-6345-4f7a-8d7a-3b4f5a2584fc"]}],"mendeley":{"formattedCitation":"&lt;span style=\"baseline\"&gt;(3)&lt;/span&gt;","plainTextFormattedCitation":"(3)","previouslyFormattedCitation":"&lt;span style=\"baseline\"&gt;(3)&lt;/span&gt;"},"properties":{"noteIndex":0},"schema":"https://github.com/citation-style-language/schema/raw/master/csl-citation.json"}</w:instrText>
      </w:r>
      <w:r w:rsidR="00440C50" w:rsidRPr="00E9486B">
        <w:fldChar w:fldCharType="separate"/>
      </w:r>
      <w:r w:rsidR="00B52B01" w:rsidRPr="00B52B01">
        <w:rPr>
          <w:noProof/>
        </w:rPr>
        <w:t>(3)</w:t>
      </w:r>
      <w:r w:rsidR="00440C50" w:rsidRPr="00E9486B">
        <w:fldChar w:fldCharType="end"/>
      </w:r>
      <w:r w:rsidRPr="00E9486B">
        <w:t>.</w:t>
      </w:r>
    </w:p>
    <w:p w:rsidR="00AD6A2E" w:rsidRPr="00E9486B" w:rsidRDefault="00AD6A2E" w:rsidP="00AD6A2E">
      <w:pPr>
        <w:ind w:right="48" w:firstLine="567"/>
        <w:jc w:val="both"/>
      </w:pPr>
      <w:r w:rsidRPr="00E9486B">
        <w:t xml:space="preserve">Menurut Sirdesmukh, et al. (2002) menyatakan bahwa posisi kepercayaan (trust) sebagai faktor penentu komitmen hubungan.Indikator yang ditampilkan pada kepercayaanpasien pada rumah sakit berasal dari Morgan, et al. (1994), Doney, et al. (1997), Sirdesmukh (2002) yaitu: reliability (kemampuan memberikan pelayanan), integrity </w:t>
      </w:r>
      <w:r w:rsidRPr="00E9486B">
        <w:lastRenderedPageBreak/>
        <w:t xml:space="preserve">(integritas), expectation (menaruh harapan), keterbukaan </w:t>
      </w:r>
      <w:r w:rsidR="00440C50" w:rsidRPr="00E9486B">
        <w:fldChar w:fldCharType="begin" w:fldLock="1"/>
      </w:r>
      <w:r w:rsidR="00B52B01">
        <w:instrText>ADDIN CSL_CITATION {"citationItems":[{"id":"ITEM-1","itemData":{"DOI":"10.1093/bioinformatics/btn214","ISBN":"1367-4803","ISSN":"1460-2059","abstract":"Motivation: Within a homologous protein family, proteins may be grouped into subtypes that share specific functions that are not common to the entire family. Often, the amino acids present in a small number of sequence positions determine each proteins particular function-al specificity. Knowledge of these specificity determining positions (SDPs) aids in protein function prediction, drug design and experimental analysis. A number of sequence-based computational methods have been introduced for identifying SDPs; however, their further development and evaluation have been hindered by the limited number of known experimentally determined SDPs. Results: We combine several bioinformatics resources to automate a process, typically undertaken manually, to build a dataset of SDPs. The resulting large dataset, which consists of SDPs in enzymes, enables us to characterize SDPs in terms of their physicochemical and evolution-ary properties. It also facilitates the large-scale evaluation of sequence-based SDP prediction methods. We present a simple sequence-based SDP prediction method, GroupSim, and show that, surprisingly, it is competitive with a representative set of current methods. We also describe ConsWin, a heuristic that considers sequence conservation of neighboring amino acids, and demonstrate that it improves the performance of all methods tested on our large dataset of enzyme SDPs.","author":[{"dropping-particle":"","family":"Djoha","given":"Agustinus Johanes","non-dropping-particle":"","parse-names":false,"suffix":""}],"container-title":"Jurnal Penelitian Keperawatan","id":"ITEM-1","issue":"13","issued":{"date-parts":[["2008","7"]]},"page":"1473-1480","title":"Faktor-Faktor yang Mempengaruhi Kepuasan dan Kepercayaan untuk Mencapai Loyalitas Pasien Rawat Inap pada Rumah Sakit Swasta di Kota Banjarmasin JAM","type":"article-journal","volume":"24"},"uris":["http://www.mendeley.com/documents/?uuid=0ab3903e-c6af-4a19-ab81-57d7e24038cc","http://www.mendeley.com/documents/?uuid=a60af895-988c-4684-8901-98a7440c360f"]}],"mendeley":{"formattedCitation":"&lt;span style=\"baseline\"&gt;(4)&lt;/span&gt;","plainTextFormattedCitation":"(4)","previouslyFormattedCitation":"&lt;span style=\"baseline\"&gt;(4)&lt;/span&gt;"},"properties":{"noteIndex":0},"schema":"https://github.com/citation-style-language/schema/raw/master/csl-citation.json"}</w:instrText>
      </w:r>
      <w:r w:rsidR="00440C50" w:rsidRPr="00E9486B">
        <w:fldChar w:fldCharType="separate"/>
      </w:r>
      <w:r w:rsidR="00B52B01" w:rsidRPr="00B52B01">
        <w:rPr>
          <w:noProof/>
        </w:rPr>
        <w:t>(4)</w:t>
      </w:r>
      <w:r w:rsidR="00440C50" w:rsidRPr="00E9486B">
        <w:fldChar w:fldCharType="end"/>
      </w:r>
      <w:r w:rsidRPr="00E9486B">
        <w:t xml:space="preserve">. Salah satu layanan yang penting untuk masyarakat adalah layanan kesehatan. Sebab pada dasarnya setiap orang membutuhkan tubuh yang sehat dalam menjalankan setiap aktifitasnya sehingga mereka dapat melakukan kegiatannya dengan baik. Maka dari itu dibutuhkan layanan kesehatan yang optimal dan jaminan kepercayaan agar masyarakat mendapat hasil yang memuaskan </w:t>
      </w:r>
      <w:r w:rsidR="00440C50" w:rsidRPr="00E9486B">
        <w:fldChar w:fldCharType="begin" w:fldLock="1"/>
      </w:r>
      <w:r w:rsidR="00B52B01">
        <w:instrText>ADDIN CSL_CITATION {"citationItems":[{"id":"ITEM-1","itemData":{"author":[{"dropping-particle":"","family":"Rusandy","given":"Deby Santyo","non-dropping-particle":"","parse-names":false,"suffix":""}],"container-title":"Skripsi","id":"ITEM-1","issue":"45","issued":{"date-parts":[["2010"]]},"page":"39","title":"Pengaruh Kualitas Pelayanan Dan Kepercayaan Terhadap Kepuasan Pasien Rawat Inap","type":"article-journal","volume":"3"},"uris":["http://www.mendeley.com/documents/?uuid=4f44f456-655d-4311-a3e6-17f9e2645974","http://www.mendeley.com/documents/?uuid=961e2ca2-ca5d-4315-96c9-d7199ad71dc3"]}],"mendeley":{"formattedCitation":"&lt;span style=\"baseline\"&gt;(5)&lt;/span&gt;","plainTextFormattedCitation":"(5)","previouslyFormattedCitation":"&lt;span style=\"baseline\"&gt;(5)&lt;/span&gt;"},"properties":{"noteIndex":0},"schema":"https://github.com/citation-style-language/schema/raw/master/csl-citation.json"}</w:instrText>
      </w:r>
      <w:r w:rsidR="00440C50" w:rsidRPr="00E9486B">
        <w:fldChar w:fldCharType="separate"/>
      </w:r>
      <w:r w:rsidR="00B52B01" w:rsidRPr="00B52B01">
        <w:rPr>
          <w:noProof/>
        </w:rPr>
        <w:t>(5)</w:t>
      </w:r>
      <w:r w:rsidR="00440C50" w:rsidRPr="00E9486B">
        <w:fldChar w:fldCharType="end"/>
      </w:r>
      <w:r w:rsidRPr="00E9486B">
        <w:t>.</w:t>
      </w:r>
    </w:p>
    <w:p w:rsidR="00AD6A2E" w:rsidRPr="00E9486B" w:rsidRDefault="00AD6A2E" w:rsidP="00AD6A2E">
      <w:pPr>
        <w:ind w:right="48" w:firstLine="567"/>
        <w:jc w:val="both"/>
        <w:rPr>
          <w:lang w:val="id-ID"/>
        </w:rPr>
      </w:pPr>
      <w:r w:rsidRPr="00E9486B">
        <w:t xml:space="preserve">Maka dari itu perawat yang melakukan triase ini harus mempunyai tingkat pengetahuan yang memadai, tingkat pengetahuan meliputi : Prioritas I (Merah) suatu kondisi yang mengancam nyawa atau resiko kecacatan, perlu resusitasi dan pembedahan segera mungkin, Prioritas II (Kuning) kondisi memerlukan tindakan segera. Tetapi, keadaan yang mengancam nyawa tidak muncul saat itu, Prioritas III (Hijau) kondisi yang tidak perlu penaganan segera, tidak mengancam nyawa atau mengalami kecacatan, Prioritas IV (Hitam) kondisi yang kemungkinan harapan untuk hidup sangat kecil </w:t>
      </w:r>
      <w:r w:rsidR="00440C50" w:rsidRPr="00E9486B">
        <w:fldChar w:fldCharType="begin" w:fldLock="1"/>
      </w:r>
      <w:r w:rsidR="00B52B01">
        <w:instrText>ADDIN CSL_CITATION {"citationItems":[{"id":"ITEM-1","itemData":{"ISBN":"978-602-8200-20-2","author":[{"dropping-particle":"","family":"Paula Krisanty, Santa manurung, Saratun, Wartonah, Mamah Sumartini, Ermawati, Rohimah","given":"Santun Setiawati","non-dropping-particle":"","parse-names":false,"suffix":""}],"id":"ITEM-1","issued":{"date-parts":[["2009"]]},"number-of-pages":"1-382","publisher":"Trans Info Media","publisher-place":"Jakarta","title":"Asuhan Keperawatan Gawat Darurat","type":"book"},"uris":["http://www.mendeley.com/documents/?uuid=aebaa97d-aa73-4985-aab0-69c651b7a948","http://www.mendeley.com/documents/?uuid=918369a6-8b86-484a-b1b7-c7dd8f265768"]}],"mendeley":{"formattedCitation":"&lt;span style=\"baseline\"&gt;(6)&lt;/span&gt;","plainTextFormattedCitation":"(6)","previouslyFormattedCitation":"&lt;span style=\"baseline\"&gt;(6)&lt;/span&gt;"},"properties":{"noteIndex":0},"schema":"https://github.com/citation-style-language/schema/raw/master/csl-citation.json"}</w:instrText>
      </w:r>
      <w:r w:rsidR="00440C50" w:rsidRPr="00E9486B">
        <w:fldChar w:fldCharType="separate"/>
      </w:r>
      <w:r w:rsidR="00B52B01" w:rsidRPr="00B52B01">
        <w:rPr>
          <w:noProof/>
        </w:rPr>
        <w:t>(6)</w:t>
      </w:r>
      <w:r w:rsidR="00440C50" w:rsidRPr="00E9486B">
        <w:fldChar w:fldCharType="end"/>
      </w:r>
      <w:r w:rsidRPr="00E9486B">
        <w:t>. Perawat Instalasi Gawat Darurat wajib memiliki kemampuan dan pengetahuan mengenai triase karena ini modal dasar saat bertugas di Instalasi Gawat Darurat.</w:t>
      </w:r>
    </w:p>
    <w:p w:rsidR="00AD6A2E" w:rsidRPr="00E9486B" w:rsidRDefault="00AD6A2E" w:rsidP="00AD6A2E">
      <w:pPr>
        <w:ind w:right="48" w:firstLine="567"/>
        <w:jc w:val="both"/>
      </w:pPr>
      <w:r w:rsidRPr="00E9486B">
        <w:t xml:space="preserve">Berdasarkan hasil pengambilan data awal yang saya lakukan pada tanggal 9 Maret 2020. Rumah Sakit Daerah Konawe Selatan  merupakan rumah sakit rujukan yang berada di kabupaten konawe selatan. Data kunjungan pasien Instalasi Gawat Darurat dalam waktu 1 bulan minimal 300 - 400 pasien. Dalam data kunjungan pasien Instalasi Gawat Darurat Tahun 2019 sekitar  3.600 pasien.  Sedangkan jumlah pasien pada triase kuning dalam waktu 1 bulan mencapai 20 – 30 pasien. Dengan </w:t>
      </w:r>
      <w:r w:rsidRPr="00E9486B">
        <w:lastRenderedPageBreak/>
        <w:t>tenaga perawat yang bertugas di Instalasi Gawat Darurat berjumlah 20 orang dan 5 orang perawat tingkat pendidikan S1 Ners serta D3 berjumlah 15 orang perawat. Dari data yang saya terima oleh perawat ruang Instalasi Gawat Darurat Rumah Sakit Konawe selatan mengatakan rata-rata respon time perawat 10 – 15 menit tergantung kondisi pasien. Adapun observasi dan wawancara yang di lakukan 5 orang keluarga pasien yang masuk melalui Instalasi Gawat Darurat Rumah Sakit Daerah Konawe Selatan. Setelah mendapatkan respon dan tindakan pertama oleh perawat, ada beberapa keluarga pasien mengatakan  kh</w:t>
      </w:r>
      <w:r w:rsidRPr="00E9486B">
        <w:rPr>
          <w:lang w:val="en-ID"/>
        </w:rPr>
        <w:t>a</w:t>
      </w:r>
      <w:r w:rsidRPr="00E9486B">
        <w:t>watir, cemas, dan kurang percaya terhadap perawat karena lamanya respon dan tindakan yang di lakukan oleh perawat, mereka juga mengatakan perawatnya masih kurang cepat dalam menangani pasien. Dari data yang di peroleh pada tahun 2019, kepercayaan pasien maupun keluarga pasien khususnya diruangan instalasi gawat darurat masih dibawah 70%.</w:t>
      </w:r>
    </w:p>
    <w:p w:rsidR="00CF4C57" w:rsidRPr="00E9486B" w:rsidRDefault="00CF4C57"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r w:rsidRPr="00E9486B">
        <w:rPr>
          <w:rFonts w:eastAsia="Arial Unicode MS"/>
          <w:b/>
          <w:lang w:val="id-ID"/>
        </w:rPr>
        <w:t>Metode</w:t>
      </w:r>
    </w:p>
    <w:p w:rsidR="00A94D63" w:rsidRPr="00E9486B" w:rsidRDefault="00D461C1" w:rsidP="001D34E9">
      <w:pPr>
        <w:ind w:right="48" w:firstLine="567"/>
        <w:jc w:val="both"/>
      </w:pPr>
      <w:r w:rsidRPr="00E9486B">
        <w:t xml:space="preserve">Penelitian ini </w:t>
      </w:r>
      <w:r w:rsidRPr="00E9486B">
        <w:rPr>
          <w:lang w:val="id-ID"/>
        </w:rPr>
        <w:t>bersifat</w:t>
      </w:r>
      <w:r w:rsidRPr="00E9486B">
        <w:t xml:space="preserve"> kuantitatif, dengan desain penelitian menggunakan </w:t>
      </w:r>
      <w:r w:rsidR="00AD6A2E" w:rsidRPr="00E9486B">
        <w:t xml:space="preserve">pendekatan </w:t>
      </w:r>
      <w:r w:rsidR="00AD6A2E" w:rsidRPr="00E9486B">
        <w:rPr>
          <w:i/>
        </w:rPr>
        <w:t>cross sectional study</w:t>
      </w:r>
      <w:r w:rsidR="00AD6A2E" w:rsidRPr="00E9486B">
        <w:t xml:space="preserve">. Populasi dalam penelitian ini adalah seluruh keluarga </w:t>
      </w:r>
      <w:r w:rsidR="00AD6A2E" w:rsidRPr="00E9486B">
        <w:rPr>
          <w:lang w:val="en-ID"/>
        </w:rPr>
        <w:t xml:space="preserve">pasien yang datang berkunjung ke Unit Gawat Darurat  </w:t>
      </w:r>
      <w:r w:rsidR="001D34E9" w:rsidRPr="00E9486B">
        <w:rPr>
          <w:lang w:val="en-ID"/>
        </w:rPr>
        <w:t xml:space="preserve">sebanyak </w:t>
      </w:r>
      <w:r w:rsidR="00AD6A2E" w:rsidRPr="00E9486B">
        <w:rPr>
          <w:lang w:val="en-ID"/>
        </w:rPr>
        <w:t>30 keluarga pasien</w:t>
      </w:r>
      <w:r w:rsidR="00AD6A2E" w:rsidRPr="00E9486B">
        <w:rPr>
          <w:i/>
          <w:lang w:val="en-ID"/>
        </w:rPr>
        <w:t xml:space="preserve"> triase</w:t>
      </w:r>
      <w:r w:rsidR="00AD6A2E" w:rsidRPr="00E9486B">
        <w:rPr>
          <w:lang w:val="en-ID"/>
        </w:rPr>
        <w:t xml:space="preserve"> kuning.</w:t>
      </w:r>
      <w:r w:rsidRPr="00E9486B">
        <w:t xml:space="preserve">Jumlah sampel sebanyak </w:t>
      </w:r>
      <w:r w:rsidR="00CF4C57" w:rsidRPr="00E9486B">
        <w:t>30</w:t>
      </w:r>
      <w:r w:rsidRPr="00E9486B">
        <w:t xml:space="preserve"> orang</w:t>
      </w:r>
      <w:r w:rsidR="001D34E9" w:rsidRPr="00E9486B">
        <w:t>.</w:t>
      </w:r>
      <w:r w:rsidRPr="00E9486B">
        <w:t xml:space="preserve"> Teknik pengambilan sampel dalam penelitian ini menggunakan teknik </w:t>
      </w:r>
      <w:r w:rsidR="00CF4C57" w:rsidRPr="00E9486B">
        <w:rPr>
          <w:i/>
        </w:rPr>
        <w:t xml:space="preserve">Total </w:t>
      </w:r>
      <w:r w:rsidRPr="00E9486B">
        <w:rPr>
          <w:i/>
        </w:rPr>
        <w:t>Sampling</w:t>
      </w:r>
      <w:r w:rsidR="00725851">
        <w:rPr>
          <w:i/>
        </w:rPr>
        <w:t xml:space="preserve">. </w:t>
      </w:r>
      <w:r w:rsidR="00725851">
        <w:t>M</w:t>
      </w:r>
      <w:r w:rsidR="001D34E9" w:rsidRPr="00E9486B">
        <w:t xml:space="preserve">enggunakan uji </w:t>
      </w:r>
      <w:r w:rsidR="001D34E9" w:rsidRPr="00E9486B">
        <w:rPr>
          <w:i/>
        </w:rPr>
        <w:t>chi square</w:t>
      </w:r>
      <w:r w:rsidR="001D34E9" w:rsidRPr="00E9486B">
        <w:t xml:space="preserve"> dan bila </w:t>
      </w:r>
      <w:r w:rsidR="001D34E9" w:rsidRPr="00E9486B">
        <w:rPr>
          <w:i/>
        </w:rPr>
        <w:t>expected count</w:t>
      </w:r>
      <w:r w:rsidR="001D34E9" w:rsidRPr="00E9486B">
        <w:t xml:space="preserve"> kurang dari 5 maka digunakan uji </w:t>
      </w:r>
      <w:r w:rsidR="001D34E9" w:rsidRPr="00E9486B">
        <w:rPr>
          <w:i/>
        </w:rPr>
        <w:t>fisher exact.</w:t>
      </w:r>
    </w:p>
    <w:p w:rsidR="00D461C1" w:rsidRPr="00E9486B" w:rsidRDefault="00D461C1" w:rsidP="00D461C1">
      <w:pPr>
        <w:ind w:right="362"/>
        <w:jc w:val="both"/>
        <w:rPr>
          <w:rFonts w:eastAsia="Arial Unicode MS"/>
          <w:b/>
        </w:rPr>
      </w:pPr>
      <w:r w:rsidRPr="00E9486B">
        <w:rPr>
          <w:rFonts w:eastAsia="Arial Unicode MS"/>
          <w:b/>
          <w:lang w:val="id-ID"/>
        </w:rPr>
        <w:t xml:space="preserve">Hasil </w:t>
      </w:r>
      <w:r w:rsidRPr="00E9486B">
        <w:rPr>
          <w:rFonts w:eastAsia="Arial Unicode MS"/>
          <w:b/>
        </w:rPr>
        <w:t>Penelitian</w:t>
      </w:r>
    </w:p>
    <w:p w:rsidR="00E9486B" w:rsidRPr="00E9486B" w:rsidRDefault="00E9486B" w:rsidP="00D461C1">
      <w:pPr>
        <w:ind w:right="362"/>
        <w:jc w:val="both"/>
        <w:rPr>
          <w:rFonts w:eastAsia="Arial Unicode MS"/>
          <w:b/>
        </w:rPr>
      </w:pPr>
    </w:p>
    <w:p w:rsidR="00D461C1" w:rsidRPr="00E9486B" w:rsidRDefault="00D461C1" w:rsidP="00D461C1">
      <w:pPr>
        <w:pStyle w:val="ListParagraph"/>
        <w:numPr>
          <w:ilvl w:val="0"/>
          <w:numId w:val="1"/>
        </w:numPr>
        <w:spacing w:after="0"/>
        <w:ind w:left="284" w:right="362" w:hanging="284"/>
        <w:jc w:val="both"/>
        <w:rPr>
          <w:rFonts w:ascii="Times New Roman" w:eastAsia="Arial Unicode MS" w:hAnsi="Times New Roman"/>
          <w:sz w:val="24"/>
          <w:szCs w:val="24"/>
          <w:lang w:val="id-ID"/>
        </w:rPr>
      </w:pPr>
      <w:r w:rsidRPr="00E9486B">
        <w:rPr>
          <w:rFonts w:ascii="Times New Roman" w:eastAsia="Arial Unicode MS" w:hAnsi="Times New Roman"/>
          <w:sz w:val="24"/>
          <w:szCs w:val="24"/>
        </w:rPr>
        <w:t>Karakteristik Responden</w:t>
      </w:r>
    </w:p>
    <w:p w:rsidR="00A94D63" w:rsidRPr="00E9486B" w:rsidRDefault="00D461C1" w:rsidP="00A94D63">
      <w:pPr>
        <w:tabs>
          <w:tab w:val="left" w:pos="1560"/>
        </w:tabs>
        <w:jc w:val="both"/>
        <w:rPr>
          <w:b/>
          <w:bCs/>
        </w:rPr>
      </w:pPr>
      <w:r w:rsidRPr="00E9486B">
        <w:rPr>
          <w:b/>
          <w:lang w:val="id-ID"/>
        </w:rPr>
        <w:t>Tabel 1</w:t>
      </w:r>
      <w:r w:rsidR="00A94D63" w:rsidRPr="00E9486B">
        <w:rPr>
          <w:b/>
          <w:lang w:val="id-ID"/>
        </w:rPr>
        <w:t xml:space="preserve">.Distribusi karakteristikresponden   </w:t>
      </w:r>
    </w:p>
    <w:p w:rsidR="00D461C1" w:rsidRPr="00E9486B" w:rsidRDefault="00D461C1" w:rsidP="00D461C1">
      <w:pPr>
        <w:ind w:right="48"/>
        <w:jc w:val="both"/>
        <w:rPr>
          <w:rFonts w:eastAsia="MS Mincho"/>
          <w:b/>
          <w:bCs/>
        </w:rPr>
      </w:pPr>
    </w:p>
    <w:tbl>
      <w:tblPr>
        <w:tblW w:w="4253" w:type="dxa"/>
        <w:tblInd w:w="-142" w:type="dxa"/>
        <w:tblBorders>
          <w:top w:val="single" w:sz="4" w:space="0" w:color="000000"/>
          <w:bottom w:val="single" w:sz="4" w:space="0" w:color="000000"/>
        </w:tblBorders>
        <w:tblLayout w:type="fixed"/>
        <w:tblLook w:val="04A0"/>
      </w:tblPr>
      <w:tblGrid>
        <w:gridCol w:w="1560"/>
        <w:gridCol w:w="425"/>
        <w:gridCol w:w="709"/>
        <w:gridCol w:w="709"/>
        <w:gridCol w:w="850"/>
      </w:tblGrid>
      <w:tr w:rsidR="001D34E9" w:rsidRPr="00E9486B" w:rsidTr="001D34E9">
        <w:tc>
          <w:tcPr>
            <w:tcW w:w="1560" w:type="dxa"/>
            <w:tcBorders>
              <w:top w:val="single" w:sz="2" w:space="0" w:color="000000"/>
              <w:left w:val="nil"/>
              <w:bottom w:val="single" w:sz="2" w:space="0" w:color="000000"/>
              <w:right w:val="nil"/>
            </w:tcBorders>
            <w:vAlign w:val="center"/>
            <w:hideMark/>
          </w:tcPr>
          <w:p w:rsidR="001D34E9" w:rsidRPr="00E9486B" w:rsidRDefault="001D34E9">
            <w:pPr>
              <w:tabs>
                <w:tab w:val="center" w:pos="4680"/>
                <w:tab w:val="right" w:pos="9360"/>
              </w:tabs>
              <w:autoSpaceDE w:val="0"/>
              <w:autoSpaceDN w:val="0"/>
              <w:adjustRightInd w:val="0"/>
              <w:rPr>
                <w:b/>
                <w:bCs/>
              </w:rPr>
            </w:pPr>
            <w:r w:rsidRPr="00E9486B">
              <w:rPr>
                <w:b/>
                <w:bCs/>
                <w:sz w:val="22"/>
              </w:rPr>
              <w:lastRenderedPageBreak/>
              <w:t xml:space="preserve">Karakteristik Responden </w:t>
            </w:r>
          </w:p>
        </w:tc>
        <w:tc>
          <w:tcPr>
            <w:tcW w:w="425" w:type="dxa"/>
            <w:tcBorders>
              <w:top w:val="single" w:sz="2" w:space="0" w:color="000000"/>
              <w:left w:val="nil"/>
              <w:bottom w:val="single" w:sz="2" w:space="0" w:color="000000"/>
              <w:right w:val="nil"/>
            </w:tcBorders>
            <w:vAlign w:val="center"/>
            <w:hideMark/>
          </w:tcPr>
          <w:p w:rsidR="001D34E9" w:rsidRPr="00E9486B" w:rsidRDefault="001D34E9">
            <w:pPr>
              <w:tabs>
                <w:tab w:val="center" w:pos="4680"/>
                <w:tab w:val="right" w:pos="9360"/>
              </w:tabs>
              <w:autoSpaceDE w:val="0"/>
              <w:autoSpaceDN w:val="0"/>
              <w:adjustRightInd w:val="0"/>
              <w:jc w:val="center"/>
              <w:rPr>
                <w:b/>
                <w:bCs/>
              </w:rPr>
            </w:pPr>
            <w:r w:rsidRPr="00E9486B">
              <w:rPr>
                <w:b/>
                <w:bCs/>
                <w:sz w:val="22"/>
              </w:rPr>
              <w:t xml:space="preserve">n </w:t>
            </w:r>
          </w:p>
        </w:tc>
        <w:tc>
          <w:tcPr>
            <w:tcW w:w="709" w:type="dxa"/>
            <w:tcBorders>
              <w:top w:val="single" w:sz="2" w:space="0" w:color="000000"/>
              <w:left w:val="nil"/>
              <w:bottom w:val="single" w:sz="2" w:space="0" w:color="000000"/>
              <w:right w:val="nil"/>
            </w:tcBorders>
            <w:hideMark/>
          </w:tcPr>
          <w:p w:rsidR="001D34E9" w:rsidRPr="00E9486B" w:rsidRDefault="001D34E9">
            <w:pPr>
              <w:tabs>
                <w:tab w:val="center" w:pos="4680"/>
                <w:tab w:val="right" w:pos="9360"/>
              </w:tabs>
              <w:autoSpaceDE w:val="0"/>
              <w:autoSpaceDN w:val="0"/>
              <w:adjustRightInd w:val="0"/>
              <w:jc w:val="center"/>
              <w:rPr>
                <w:b/>
                <w:bCs/>
              </w:rPr>
            </w:pPr>
            <w:r w:rsidRPr="00E9486B">
              <w:rPr>
                <w:b/>
                <w:bCs/>
                <w:sz w:val="22"/>
              </w:rPr>
              <w:t>%</w:t>
            </w:r>
          </w:p>
        </w:tc>
        <w:tc>
          <w:tcPr>
            <w:tcW w:w="709" w:type="dxa"/>
            <w:tcBorders>
              <w:top w:val="single" w:sz="2" w:space="0" w:color="000000"/>
              <w:left w:val="nil"/>
              <w:bottom w:val="single" w:sz="2" w:space="0" w:color="000000"/>
              <w:right w:val="nil"/>
            </w:tcBorders>
            <w:hideMark/>
          </w:tcPr>
          <w:p w:rsidR="001D34E9" w:rsidRPr="00E9486B" w:rsidRDefault="001D34E9">
            <w:pPr>
              <w:tabs>
                <w:tab w:val="center" w:pos="4680"/>
                <w:tab w:val="right" w:pos="9360"/>
              </w:tabs>
              <w:autoSpaceDE w:val="0"/>
              <w:autoSpaceDN w:val="0"/>
              <w:adjustRightInd w:val="0"/>
              <w:jc w:val="center"/>
              <w:rPr>
                <w:b/>
                <w:bCs/>
              </w:rPr>
            </w:pPr>
            <w:r w:rsidRPr="00E9486B">
              <w:rPr>
                <w:b/>
                <w:bCs/>
                <w:sz w:val="22"/>
              </w:rPr>
              <w:t xml:space="preserve">Mean </w:t>
            </w:r>
          </w:p>
        </w:tc>
        <w:tc>
          <w:tcPr>
            <w:tcW w:w="850" w:type="dxa"/>
            <w:tcBorders>
              <w:top w:val="single" w:sz="2" w:space="0" w:color="000000"/>
              <w:left w:val="nil"/>
              <w:bottom w:val="single" w:sz="2" w:space="0" w:color="000000"/>
              <w:right w:val="nil"/>
            </w:tcBorders>
            <w:hideMark/>
          </w:tcPr>
          <w:p w:rsidR="001D34E9" w:rsidRPr="00E9486B" w:rsidRDefault="001D34E9">
            <w:pPr>
              <w:tabs>
                <w:tab w:val="center" w:pos="4680"/>
                <w:tab w:val="right" w:pos="9360"/>
              </w:tabs>
              <w:autoSpaceDE w:val="0"/>
              <w:autoSpaceDN w:val="0"/>
              <w:adjustRightInd w:val="0"/>
              <w:jc w:val="center"/>
              <w:rPr>
                <w:b/>
                <w:bCs/>
              </w:rPr>
            </w:pPr>
            <w:r w:rsidRPr="00E9486B">
              <w:rPr>
                <w:b/>
                <w:bCs/>
                <w:sz w:val="22"/>
                <w:u w:val="single"/>
              </w:rPr>
              <w:t>+</w:t>
            </w:r>
            <w:r w:rsidRPr="00E9486B">
              <w:rPr>
                <w:b/>
                <w:bCs/>
                <w:sz w:val="22"/>
              </w:rPr>
              <w:t xml:space="preserve"> SD</w:t>
            </w:r>
          </w:p>
        </w:tc>
      </w:tr>
      <w:tr w:rsidR="001D34E9" w:rsidRPr="00E9486B" w:rsidTr="001D34E9">
        <w:tc>
          <w:tcPr>
            <w:tcW w:w="1560" w:type="dxa"/>
            <w:tcBorders>
              <w:top w:val="single" w:sz="2" w:space="0" w:color="000000"/>
              <w:left w:val="nil"/>
              <w:bottom w:val="single" w:sz="2" w:space="0" w:color="000000"/>
              <w:right w:val="nil"/>
            </w:tcBorders>
            <w:vAlign w:val="center"/>
            <w:hideMark/>
          </w:tcPr>
          <w:p w:rsidR="001D34E9" w:rsidRPr="00E9486B" w:rsidRDefault="001D34E9">
            <w:pPr>
              <w:tabs>
                <w:tab w:val="center" w:pos="4680"/>
                <w:tab w:val="right" w:pos="9360"/>
              </w:tabs>
              <w:autoSpaceDE w:val="0"/>
              <w:autoSpaceDN w:val="0"/>
              <w:adjustRightInd w:val="0"/>
              <w:rPr>
                <w:b/>
                <w:bCs/>
              </w:rPr>
            </w:pPr>
            <w:r w:rsidRPr="00E9486B">
              <w:rPr>
                <w:b/>
                <w:bCs/>
                <w:sz w:val="22"/>
              </w:rPr>
              <w:t>Umur (Tahun)</w:t>
            </w:r>
          </w:p>
        </w:tc>
        <w:tc>
          <w:tcPr>
            <w:tcW w:w="425" w:type="dxa"/>
            <w:tcBorders>
              <w:top w:val="single" w:sz="2" w:space="0" w:color="000000"/>
              <w:left w:val="nil"/>
              <w:bottom w:val="single" w:sz="2" w:space="0" w:color="000000"/>
              <w:right w:val="nil"/>
            </w:tcBorders>
            <w:vAlign w:val="center"/>
          </w:tcPr>
          <w:p w:rsidR="001D34E9" w:rsidRPr="00E9486B" w:rsidRDefault="001D34E9">
            <w:pPr>
              <w:tabs>
                <w:tab w:val="center" w:pos="4680"/>
                <w:tab w:val="right" w:pos="9360"/>
              </w:tabs>
              <w:autoSpaceDE w:val="0"/>
              <w:autoSpaceDN w:val="0"/>
              <w:adjustRightInd w:val="0"/>
              <w:rPr>
                <w:b/>
                <w:bCs/>
              </w:rPr>
            </w:pPr>
          </w:p>
        </w:tc>
        <w:tc>
          <w:tcPr>
            <w:tcW w:w="709" w:type="dxa"/>
            <w:tcBorders>
              <w:top w:val="single" w:sz="2" w:space="0" w:color="000000"/>
              <w:left w:val="nil"/>
              <w:bottom w:val="single" w:sz="2" w:space="0" w:color="000000"/>
              <w:right w:val="nil"/>
            </w:tcBorders>
          </w:tcPr>
          <w:p w:rsidR="001D34E9" w:rsidRPr="00E9486B" w:rsidRDefault="001D34E9">
            <w:pPr>
              <w:tabs>
                <w:tab w:val="center" w:pos="4680"/>
                <w:tab w:val="right" w:pos="9360"/>
              </w:tabs>
              <w:autoSpaceDE w:val="0"/>
              <w:autoSpaceDN w:val="0"/>
              <w:adjustRightInd w:val="0"/>
              <w:rPr>
                <w:b/>
                <w:bCs/>
              </w:rPr>
            </w:pPr>
          </w:p>
        </w:tc>
        <w:tc>
          <w:tcPr>
            <w:tcW w:w="709" w:type="dxa"/>
            <w:tcBorders>
              <w:top w:val="single" w:sz="2" w:space="0" w:color="000000"/>
              <w:left w:val="nil"/>
              <w:bottom w:val="single" w:sz="2" w:space="0" w:color="000000"/>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37.93</w:t>
            </w:r>
          </w:p>
        </w:tc>
        <w:tc>
          <w:tcPr>
            <w:tcW w:w="850" w:type="dxa"/>
            <w:tcBorders>
              <w:top w:val="single" w:sz="2" w:space="0" w:color="000000"/>
              <w:left w:val="nil"/>
              <w:bottom w:val="single" w:sz="2" w:space="0" w:color="000000"/>
              <w:right w:val="nil"/>
            </w:tcBorders>
            <w:hideMark/>
          </w:tcPr>
          <w:p w:rsidR="001D34E9" w:rsidRPr="00E9486B" w:rsidRDefault="001D34E9">
            <w:pPr>
              <w:tabs>
                <w:tab w:val="center" w:pos="4680"/>
                <w:tab w:val="right" w:pos="9360"/>
              </w:tabs>
              <w:autoSpaceDE w:val="0"/>
              <w:autoSpaceDN w:val="0"/>
              <w:adjustRightInd w:val="0"/>
              <w:jc w:val="center"/>
              <w:rPr>
                <w:bCs/>
                <w:lang w:val="id-ID"/>
              </w:rPr>
            </w:pPr>
            <w:r w:rsidRPr="00E9486B">
              <w:rPr>
                <w:bCs/>
                <w:sz w:val="22"/>
              </w:rPr>
              <w:t>10.793</w:t>
            </w:r>
          </w:p>
        </w:tc>
      </w:tr>
      <w:tr w:rsidR="001D34E9" w:rsidRPr="00E9486B" w:rsidTr="001D34E9">
        <w:tc>
          <w:tcPr>
            <w:tcW w:w="1560" w:type="dxa"/>
            <w:tcBorders>
              <w:top w:val="single" w:sz="2" w:space="0" w:color="000000"/>
              <w:left w:val="nil"/>
              <w:bottom w:val="nil"/>
              <w:right w:val="nil"/>
            </w:tcBorders>
            <w:vAlign w:val="center"/>
            <w:hideMark/>
          </w:tcPr>
          <w:p w:rsidR="001D34E9" w:rsidRPr="00E9486B" w:rsidRDefault="001D34E9">
            <w:pPr>
              <w:tabs>
                <w:tab w:val="center" w:pos="4680"/>
                <w:tab w:val="right" w:pos="9360"/>
              </w:tabs>
              <w:autoSpaceDE w:val="0"/>
              <w:autoSpaceDN w:val="0"/>
              <w:adjustRightInd w:val="0"/>
              <w:rPr>
                <w:b/>
                <w:bCs/>
              </w:rPr>
            </w:pPr>
            <w:r w:rsidRPr="00E9486B">
              <w:rPr>
                <w:b/>
                <w:bCs/>
                <w:sz w:val="22"/>
              </w:rPr>
              <w:t>Jenis Kelamin</w:t>
            </w:r>
          </w:p>
        </w:tc>
        <w:tc>
          <w:tcPr>
            <w:tcW w:w="425" w:type="dxa"/>
            <w:tcBorders>
              <w:top w:val="single" w:sz="2" w:space="0" w:color="000000"/>
              <w:left w:val="nil"/>
              <w:bottom w:val="nil"/>
              <w:right w:val="nil"/>
            </w:tcBorders>
            <w:vAlign w:val="center"/>
          </w:tcPr>
          <w:p w:rsidR="001D34E9" w:rsidRPr="00E9486B" w:rsidRDefault="001D34E9">
            <w:pPr>
              <w:tabs>
                <w:tab w:val="center" w:pos="4680"/>
                <w:tab w:val="right" w:pos="9360"/>
              </w:tabs>
              <w:autoSpaceDE w:val="0"/>
              <w:autoSpaceDN w:val="0"/>
              <w:adjustRightInd w:val="0"/>
              <w:rPr>
                <w:b/>
                <w:bCs/>
                <w:lang w:val="id-ID"/>
              </w:rPr>
            </w:pPr>
          </w:p>
        </w:tc>
        <w:tc>
          <w:tcPr>
            <w:tcW w:w="709" w:type="dxa"/>
            <w:tcBorders>
              <w:top w:val="single" w:sz="2" w:space="0" w:color="000000"/>
              <w:left w:val="nil"/>
              <w:bottom w:val="nil"/>
              <w:right w:val="nil"/>
            </w:tcBorders>
          </w:tcPr>
          <w:p w:rsidR="001D34E9" w:rsidRPr="00E9486B" w:rsidRDefault="001D34E9">
            <w:pPr>
              <w:tabs>
                <w:tab w:val="center" w:pos="4680"/>
                <w:tab w:val="right" w:pos="9360"/>
              </w:tabs>
              <w:autoSpaceDE w:val="0"/>
              <w:autoSpaceDN w:val="0"/>
              <w:adjustRightInd w:val="0"/>
              <w:rPr>
                <w:b/>
                <w:bCs/>
              </w:rPr>
            </w:pPr>
          </w:p>
        </w:tc>
        <w:tc>
          <w:tcPr>
            <w:tcW w:w="709" w:type="dxa"/>
            <w:tcBorders>
              <w:top w:val="single" w:sz="2" w:space="0" w:color="000000"/>
              <w:left w:val="nil"/>
              <w:bottom w:val="nil"/>
              <w:right w:val="nil"/>
            </w:tcBorders>
          </w:tcPr>
          <w:p w:rsidR="001D34E9" w:rsidRPr="00E9486B" w:rsidRDefault="001D34E9">
            <w:pPr>
              <w:tabs>
                <w:tab w:val="center" w:pos="4680"/>
                <w:tab w:val="right" w:pos="9360"/>
              </w:tabs>
              <w:autoSpaceDE w:val="0"/>
              <w:autoSpaceDN w:val="0"/>
              <w:adjustRightInd w:val="0"/>
              <w:jc w:val="center"/>
              <w:rPr>
                <w:bCs/>
              </w:rPr>
            </w:pPr>
          </w:p>
        </w:tc>
        <w:tc>
          <w:tcPr>
            <w:tcW w:w="850" w:type="dxa"/>
            <w:tcBorders>
              <w:top w:val="single" w:sz="2" w:space="0" w:color="000000"/>
              <w:left w:val="nil"/>
              <w:bottom w:val="nil"/>
              <w:right w:val="nil"/>
            </w:tcBorders>
          </w:tcPr>
          <w:p w:rsidR="001D34E9" w:rsidRPr="00E9486B" w:rsidRDefault="001D34E9">
            <w:pPr>
              <w:tabs>
                <w:tab w:val="center" w:pos="4680"/>
                <w:tab w:val="right" w:pos="9360"/>
              </w:tabs>
              <w:autoSpaceDE w:val="0"/>
              <w:autoSpaceDN w:val="0"/>
              <w:adjustRightInd w:val="0"/>
              <w:jc w:val="center"/>
              <w:rPr>
                <w:bCs/>
              </w:rPr>
            </w:pPr>
          </w:p>
        </w:tc>
      </w:tr>
      <w:tr w:rsidR="001D34E9" w:rsidRPr="00E9486B" w:rsidTr="001D34E9">
        <w:tc>
          <w:tcPr>
            <w:tcW w:w="1560"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Laki-Laki</w:t>
            </w:r>
          </w:p>
        </w:tc>
        <w:tc>
          <w:tcPr>
            <w:tcW w:w="425"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14</w:t>
            </w:r>
          </w:p>
        </w:tc>
        <w:tc>
          <w:tcPr>
            <w:tcW w:w="709"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46.7</w:t>
            </w:r>
          </w:p>
        </w:tc>
        <w:tc>
          <w:tcPr>
            <w:tcW w:w="709" w:type="dxa"/>
            <w:tcBorders>
              <w:top w:val="nil"/>
              <w:left w:val="nil"/>
              <w:bottom w:val="nil"/>
              <w:right w:val="nil"/>
            </w:tcBorders>
          </w:tcPr>
          <w:p w:rsidR="001D34E9" w:rsidRPr="00E9486B" w:rsidRDefault="001D34E9">
            <w:pPr>
              <w:tabs>
                <w:tab w:val="center" w:pos="4680"/>
                <w:tab w:val="right" w:pos="9360"/>
              </w:tabs>
              <w:autoSpaceDE w:val="0"/>
              <w:autoSpaceDN w:val="0"/>
              <w:adjustRightInd w:val="0"/>
              <w:jc w:val="center"/>
              <w:rPr>
                <w:bCs/>
              </w:rPr>
            </w:pPr>
          </w:p>
        </w:tc>
        <w:tc>
          <w:tcPr>
            <w:tcW w:w="850" w:type="dxa"/>
            <w:tcBorders>
              <w:top w:val="nil"/>
              <w:left w:val="nil"/>
              <w:bottom w:val="nil"/>
              <w:right w:val="nil"/>
            </w:tcBorders>
          </w:tcPr>
          <w:p w:rsidR="001D34E9" w:rsidRPr="00E9486B" w:rsidRDefault="001D34E9">
            <w:pPr>
              <w:tabs>
                <w:tab w:val="center" w:pos="4680"/>
                <w:tab w:val="right" w:pos="9360"/>
              </w:tabs>
              <w:autoSpaceDE w:val="0"/>
              <w:autoSpaceDN w:val="0"/>
              <w:adjustRightInd w:val="0"/>
              <w:jc w:val="center"/>
              <w:rPr>
                <w:bCs/>
              </w:rPr>
            </w:pPr>
          </w:p>
        </w:tc>
      </w:tr>
      <w:tr w:rsidR="001D34E9" w:rsidRPr="00E9486B" w:rsidTr="001D34E9">
        <w:tc>
          <w:tcPr>
            <w:tcW w:w="1560" w:type="dxa"/>
            <w:tcBorders>
              <w:top w:val="nil"/>
              <w:left w:val="nil"/>
              <w:bottom w:val="single" w:sz="4" w:space="0" w:color="auto"/>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Perempuan</w:t>
            </w:r>
          </w:p>
        </w:tc>
        <w:tc>
          <w:tcPr>
            <w:tcW w:w="425" w:type="dxa"/>
            <w:tcBorders>
              <w:top w:val="nil"/>
              <w:left w:val="nil"/>
              <w:bottom w:val="single" w:sz="4" w:space="0" w:color="auto"/>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16</w:t>
            </w:r>
          </w:p>
        </w:tc>
        <w:tc>
          <w:tcPr>
            <w:tcW w:w="709" w:type="dxa"/>
            <w:tcBorders>
              <w:top w:val="nil"/>
              <w:left w:val="nil"/>
              <w:bottom w:val="single" w:sz="4" w:space="0" w:color="auto"/>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53.3</w:t>
            </w:r>
          </w:p>
        </w:tc>
        <w:tc>
          <w:tcPr>
            <w:tcW w:w="709" w:type="dxa"/>
            <w:tcBorders>
              <w:top w:val="nil"/>
              <w:left w:val="nil"/>
              <w:bottom w:val="single" w:sz="4" w:space="0" w:color="auto"/>
              <w:right w:val="nil"/>
            </w:tcBorders>
          </w:tcPr>
          <w:p w:rsidR="001D34E9" w:rsidRPr="00E9486B" w:rsidRDefault="001D34E9">
            <w:pPr>
              <w:tabs>
                <w:tab w:val="center" w:pos="4680"/>
                <w:tab w:val="right" w:pos="9360"/>
              </w:tabs>
              <w:autoSpaceDE w:val="0"/>
              <w:autoSpaceDN w:val="0"/>
              <w:adjustRightInd w:val="0"/>
              <w:jc w:val="center"/>
              <w:rPr>
                <w:bCs/>
              </w:rPr>
            </w:pPr>
          </w:p>
        </w:tc>
        <w:tc>
          <w:tcPr>
            <w:tcW w:w="850" w:type="dxa"/>
            <w:tcBorders>
              <w:top w:val="nil"/>
              <w:left w:val="nil"/>
              <w:bottom w:val="single" w:sz="4" w:space="0" w:color="auto"/>
              <w:right w:val="nil"/>
            </w:tcBorders>
          </w:tcPr>
          <w:p w:rsidR="001D34E9" w:rsidRPr="00E9486B" w:rsidRDefault="001D34E9">
            <w:pPr>
              <w:tabs>
                <w:tab w:val="center" w:pos="4680"/>
                <w:tab w:val="right" w:pos="9360"/>
              </w:tabs>
              <w:autoSpaceDE w:val="0"/>
              <w:autoSpaceDN w:val="0"/>
              <w:adjustRightInd w:val="0"/>
              <w:jc w:val="center"/>
              <w:rPr>
                <w:bCs/>
              </w:rPr>
            </w:pPr>
          </w:p>
        </w:tc>
      </w:tr>
      <w:tr w:rsidR="001D34E9" w:rsidRPr="00E9486B" w:rsidTr="001D34E9">
        <w:tc>
          <w:tcPr>
            <w:tcW w:w="1560" w:type="dxa"/>
            <w:tcBorders>
              <w:top w:val="single" w:sz="4" w:space="0" w:color="auto"/>
              <w:left w:val="nil"/>
              <w:bottom w:val="nil"/>
              <w:right w:val="nil"/>
            </w:tcBorders>
            <w:vAlign w:val="center"/>
            <w:hideMark/>
          </w:tcPr>
          <w:p w:rsidR="001D34E9" w:rsidRPr="00E9486B" w:rsidRDefault="001D34E9">
            <w:pPr>
              <w:rPr>
                <w:b/>
                <w:shd w:val="clear" w:color="auto" w:fill="FFFFFF"/>
                <w:lang w:val="id-ID"/>
              </w:rPr>
            </w:pPr>
            <w:r w:rsidRPr="00E9486B">
              <w:rPr>
                <w:b/>
                <w:sz w:val="22"/>
                <w:shd w:val="clear" w:color="auto" w:fill="FFFFFF"/>
              </w:rPr>
              <w:t>Pendidikan</w:t>
            </w:r>
          </w:p>
        </w:tc>
        <w:tc>
          <w:tcPr>
            <w:tcW w:w="425" w:type="dxa"/>
            <w:tcBorders>
              <w:top w:val="single" w:sz="4" w:space="0" w:color="auto"/>
              <w:left w:val="nil"/>
              <w:bottom w:val="nil"/>
              <w:right w:val="nil"/>
            </w:tcBorders>
            <w:vAlign w:val="center"/>
          </w:tcPr>
          <w:p w:rsidR="001D34E9" w:rsidRPr="00E9486B" w:rsidRDefault="001D34E9">
            <w:pPr>
              <w:rPr>
                <w:b/>
                <w:shd w:val="clear" w:color="auto" w:fill="FFFFFF"/>
              </w:rPr>
            </w:pPr>
          </w:p>
        </w:tc>
        <w:tc>
          <w:tcPr>
            <w:tcW w:w="709" w:type="dxa"/>
            <w:tcBorders>
              <w:top w:val="single" w:sz="4" w:space="0" w:color="auto"/>
              <w:left w:val="nil"/>
              <w:bottom w:val="nil"/>
              <w:right w:val="nil"/>
            </w:tcBorders>
          </w:tcPr>
          <w:p w:rsidR="001D34E9" w:rsidRPr="00E9486B" w:rsidRDefault="001D34E9">
            <w:pPr>
              <w:rPr>
                <w:b/>
                <w:shd w:val="clear" w:color="auto" w:fill="FFFFFF"/>
              </w:rPr>
            </w:pPr>
          </w:p>
        </w:tc>
        <w:tc>
          <w:tcPr>
            <w:tcW w:w="709" w:type="dxa"/>
            <w:tcBorders>
              <w:top w:val="single" w:sz="4" w:space="0" w:color="auto"/>
              <w:left w:val="nil"/>
              <w:bottom w:val="nil"/>
              <w:right w:val="nil"/>
            </w:tcBorders>
          </w:tcPr>
          <w:p w:rsidR="001D34E9" w:rsidRPr="00E9486B" w:rsidRDefault="001D34E9">
            <w:pPr>
              <w:rPr>
                <w:b/>
                <w:shd w:val="clear" w:color="auto" w:fill="FFFFFF"/>
              </w:rPr>
            </w:pPr>
          </w:p>
        </w:tc>
        <w:tc>
          <w:tcPr>
            <w:tcW w:w="850" w:type="dxa"/>
            <w:tcBorders>
              <w:top w:val="single" w:sz="4" w:space="0" w:color="auto"/>
              <w:left w:val="nil"/>
              <w:bottom w:val="nil"/>
              <w:right w:val="nil"/>
            </w:tcBorders>
          </w:tcPr>
          <w:p w:rsidR="001D34E9" w:rsidRPr="00E9486B" w:rsidRDefault="001D34E9">
            <w:pPr>
              <w:rPr>
                <w:b/>
                <w:shd w:val="clear" w:color="auto" w:fill="FFFFFF"/>
              </w:rPr>
            </w:pPr>
          </w:p>
        </w:tc>
      </w:tr>
      <w:tr w:rsidR="001D34E9" w:rsidRPr="00E9486B" w:rsidTr="001D34E9">
        <w:tc>
          <w:tcPr>
            <w:tcW w:w="1560" w:type="dxa"/>
            <w:tcBorders>
              <w:top w:val="nil"/>
              <w:left w:val="nil"/>
              <w:bottom w:val="nil"/>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SD</w:t>
            </w:r>
          </w:p>
        </w:tc>
        <w:tc>
          <w:tcPr>
            <w:tcW w:w="425"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2</w:t>
            </w:r>
          </w:p>
        </w:tc>
        <w:tc>
          <w:tcPr>
            <w:tcW w:w="709"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6.7</w:t>
            </w:r>
          </w:p>
        </w:tc>
        <w:tc>
          <w:tcPr>
            <w:tcW w:w="709" w:type="dxa"/>
            <w:tcBorders>
              <w:top w:val="nil"/>
              <w:left w:val="nil"/>
              <w:bottom w:val="nil"/>
              <w:right w:val="nil"/>
            </w:tcBorders>
          </w:tcPr>
          <w:p w:rsidR="001D34E9" w:rsidRPr="00E9486B" w:rsidRDefault="001D34E9">
            <w:pPr>
              <w:autoSpaceDE w:val="0"/>
              <w:autoSpaceDN w:val="0"/>
              <w:adjustRightInd w:val="0"/>
              <w:ind w:left="60" w:right="60"/>
              <w:jc w:val="center"/>
              <w:rPr>
                <w:color w:val="000000"/>
                <w:lang w:val="id-ID"/>
              </w:rPr>
            </w:pPr>
          </w:p>
        </w:tc>
        <w:tc>
          <w:tcPr>
            <w:tcW w:w="850" w:type="dxa"/>
            <w:tcBorders>
              <w:top w:val="nil"/>
              <w:left w:val="nil"/>
              <w:bottom w:val="nil"/>
              <w:right w:val="nil"/>
            </w:tcBorders>
          </w:tcPr>
          <w:p w:rsidR="001D34E9" w:rsidRPr="00E9486B" w:rsidRDefault="001D34E9">
            <w:pPr>
              <w:autoSpaceDE w:val="0"/>
              <w:autoSpaceDN w:val="0"/>
              <w:adjustRightInd w:val="0"/>
              <w:ind w:left="60" w:right="60"/>
              <w:jc w:val="center"/>
              <w:rPr>
                <w:color w:val="000000"/>
              </w:rPr>
            </w:pPr>
          </w:p>
        </w:tc>
      </w:tr>
      <w:tr w:rsidR="001D34E9" w:rsidRPr="00E9486B" w:rsidTr="001D34E9">
        <w:tc>
          <w:tcPr>
            <w:tcW w:w="1560" w:type="dxa"/>
            <w:tcBorders>
              <w:top w:val="nil"/>
              <w:left w:val="nil"/>
              <w:bottom w:val="nil"/>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SMP</w:t>
            </w:r>
          </w:p>
        </w:tc>
        <w:tc>
          <w:tcPr>
            <w:tcW w:w="425"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2</w:t>
            </w:r>
          </w:p>
        </w:tc>
        <w:tc>
          <w:tcPr>
            <w:tcW w:w="709"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6.7</w:t>
            </w:r>
          </w:p>
        </w:tc>
        <w:tc>
          <w:tcPr>
            <w:tcW w:w="709" w:type="dxa"/>
            <w:tcBorders>
              <w:top w:val="nil"/>
              <w:left w:val="nil"/>
              <w:bottom w:val="nil"/>
              <w:right w:val="nil"/>
            </w:tcBorders>
          </w:tcPr>
          <w:p w:rsidR="001D34E9" w:rsidRPr="00E9486B" w:rsidRDefault="001D34E9">
            <w:pPr>
              <w:autoSpaceDE w:val="0"/>
              <w:autoSpaceDN w:val="0"/>
              <w:adjustRightInd w:val="0"/>
              <w:ind w:left="60" w:right="60"/>
              <w:jc w:val="center"/>
              <w:rPr>
                <w:color w:val="000000"/>
                <w:lang w:val="id-ID"/>
              </w:rPr>
            </w:pPr>
          </w:p>
        </w:tc>
        <w:tc>
          <w:tcPr>
            <w:tcW w:w="850" w:type="dxa"/>
            <w:tcBorders>
              <w:top w:val="nil"/>
              <w:left w:val="nil"/>
              <w:bottom w:val="nil"/>
              <w:right w:val="nil"/>
            </w:tcBorders>
          </w:tcPr>
          <w:p w:rsidR="001D34E9" w:rsidRPr="00E9486B" w:rsidRDefault="001D34E9">
            <w:pPr>
              <w:autoSpaceDE w:val="0"/>
              <w:autoSpaceDN w:val="0"/>
              <w:adjustRightInd w:val="0"/>
              <w:ind w:left="60" w:right="60"/>
              <w:jc w:val="center"/>
              <w:rPr>
                <w:color w:val="000000"/>
              </w:rPr>
            </w:pPr>
          </w:p>
        </w:tc>
      </w:tr>
      <w:tr w:rsidR="001D34E9" w:rsidRPr="00E9486B" w:rsidTr="001D34E9">
        <w:tc>
          <w:tcPr>
            <w:tcW w:w="1560" w:type="dxa"/>
            <w:tcBorders>
              <w:top w:val="nil"/>
              <w:left w:val="nil"/>
              <w:bottom w:val="nil"/>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SMA</w:t>
            </w:r>
          </w:p>
        </w:tc>
        <w:tc>
          <w:tcPr>
            <w:tcW w:w="425"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16</w:t>
            </w:r>
          </w:p>
        </w:tc>
        <w:tc>
          <w:tcPr>
            <w:tcW w:w="709"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53.3</w:t>
            </w:r>
          </w:p>
        </w:tc>
        <w:tc>
          <w:tcPr>
            <w:tcW w:w="709" w:type="dxa"/>
            <w:tcBorders>
              <w:top w:val="nil"/>
              <w:left w:val="nil"/>
              <w:bottom w:val="nil"/>
              <w:right w:val="nil"/>
            </w:tcBorders>
          </w:tcPr>
          <w:p w:rsidR="001D34E9" w:rsidRPr="00E9486B" w:rsidRDefault="001D34E9">
            <w:pPr>
              <w:autoSpaceDE w:val="0"/>
              <w:autoSpaceDN w:val="0"/>
              <w:adjustRightInd w:val="0"/>
              <w:ind w:left="60" w:right="60"/>
              <w:jc w:val="center"/>
              <w:rPr>
                <w:color w:val="000000"/>
                <w:lang w:val="id-ID"/>
              </w:rPr>
            </w:pPr>
          </w:p>
        </w:tc>
        <w:tc>
          <w:tcPr>
            <w:tcW w:w="850" w:type="dxa"/>
            <w:tcBorders>
              <w:top w:val="nil"/>
              <w:left w:val="nil"/>
              <w:bottom w:val="nil"/>
              <w:right w:val="nil"/>
            </w:tcBorders>
          </w:tcPr>
          <w:p w:rsidR="001D34E9" w:rsidRPr="00E9486B" w:rsidRDefault="001D34E9">
            <w:pPr>
              <w:autoSpaceDE w:val="0"/>
              <w:autoSpaceDN w:val="0"/>
              <w:adjustRightInd w:val="0"/>
              <w:ind w:left="60" w:right="60"/>
              <w:jc w:val="center"/>
              <w:rPr>
                <w:color w:val="000000"/>
              </w:rPr>
            </w:pPr>
          </w:p>
        </w:tc>
      </w:tr>
      <w:tr w:rsidR="001D34E9" w:rsidRPr="00E9486B" w:rsidTr="001D34E9">
        <w:tc>
          <w:tcPr>
            <w:tcW w:w="1560" w:type="dxa"/>
            <w:tcBorders>
              <w:top w:val="nil"/>
              <w:left w:val="nil"/>
              <w:bottom w:val="nil"/>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D3</w:t>
            </w:r>
          </w:p>
        </w:tc>
        <w:tc>
          <w:tcPr>
            <w:tcW w:w="425"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2</w:t>
            </w:r>
          </w:p>
        </w:tc>
        <w:tc>
          <w:tcPr>
            <w:tcW w:w="709"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6.7</w:t>
            </w:r>
          </w:p>
        </w:tc>
        <w:tc>
          <w:tcPr>
            <w:tcW w:w="709" w:type="dxa"/>
            <w:tcBorders>
              <w:top w:val="nil"/>
              <w:left w:val="nil"/>
              <w:bottom w:val="nil"/>
              <w:right w:val="nil"/>
            </w:tcBorders>
          </w:tcPr>
          <w:p w:rsidR="001D34E9" w:rsidRPr="00E9486B" w:rsidRDefault="001D34E9">
            <w:pPr>
              <w:autoSpaceDE w:val="0"/>
              <w:autoSpaceDN w:val="0"/>
              <w:adjustRightInd w:val="0"/>
              <w:ind w:left="60" w:right="60"/>
              <w:jc w:val="center"/>
              <w:rPr>
                <w:color w:val="000000"/>
                <w:lang w:val="id-ID"/>
              </w:rPr>
            </w:pPr>
          </w:p>
        </w:tc>
        <w:tc>
          <w:tcPr>
            <w:tcW w:w="850" w:type="dxa"/>
            <w:tcBorders>
              <w:top w:val="nil"/>
              <w:left w:val="nil"/>
              <w:bottom w:val="nil"/>
              <w:right w:val="nil"/>
            </w:tcBorders>
          </w:tcPr>
          <w:p w:rsidR="001D34E9" w:rsidRPr="00E9486B" w:rsidRDefault="001D34E9">
            <w:pPr>
              <w:autoSpaceDE w:val="0"/>
              <w:autoSpaceDN w:val="0"/>
              <w:adjustRightInd w:val="0"/>
              <w:ind w:left="60" w:right="60"/>
              <w:jc w:val="center"/>
              <w:rPr>
                <w:color w:val="000000"/>
              </w:rPr>
            </w:pPr>
          </w:p>
        </w:tc>
      </w:tr>
      <w:tr w:rsidR="001D34E9" w:rsidRPr="00E9486B" w:rsidTr="001D34E9">
        <w:tc>
          <w:tcPr>
            <w:tcW w:w="1560" w:type="dxa"/>
            <w:tcBorders>
              <w:top w:val="nil"/>
              <w:left w:val="nil"/>
              <w:bottom w:val="nil"/>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S1</w:t>
            </w:r>
          </w:p>
        </w:tc>
        <w:tc>
          <w:tcPr>
            <w:tcW w:w="425"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7</w:t>
            </w:r>
          </w:p>
        </w:tc>
        <w:tc>
          <w:tcPr>
            <w:tcW w:w="709" w:type="dxa"/>
            <w:tcBorders>
              <w:top w:val="nil"/>
              <w:left w:val="nil"/>
              <w:bottom w:val="nil"/>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23.3</w:t>
            </w:r>
          </w:p>
        </w:tc>
        <w:tc>
          <w:tcPr>
            <w:tcW w:w="709" w:type="dxa"/>
            <w:tcBorders>
              <w:top w:val="nil"/>
              <w:left w:val="nil"/>
              <w:bottom w:val="nil"/>
              <w:right w:val="nil"/>
            </w:tcBorders>
          </w:tcPr>
          <w:p w:rsidR="001D34E9" w:rsidRPr="00E9486B" w:rsidRDefault="001D34E9">
            <w:pPr>
              <w:autoSpaceDE w:val="0"/>
              <w:autoSpaceDN w:val="0"/>
              <w:adjustRightInd w:val="0"/>
              <w:ind w:left="60" w:right="60"/>
              <w:jc w:val="center"/>
              <w:rPr>
                <w:color w:val="000000"/>
                <w:lang w:val="id-ID"/>
              </w:rPr>
            </w:pPr>
          </w:p>
        </w:tc>
        <w:tc>
          <w:tcPr>
            <w:tcW w:w="850" w:type="dxa"/>
            <w:tcBorders>
              <w:top w:val="nil"/>
              <w:left w:val="nil"/>
              <w:bottom w:val="nil"/>
              <w:right w:val="nil"/>
            </w:tcBorders>
          </w:tcPr>
          <w:p w:rsidR="001D34E9" w:rsidRPr="00E9486B" w:rsidRDefault="001D34E9">
            <w:pPr>
              <w:autoSpaceDE w:val="0"/>
              <w:autoSpaceDN w:val="0"/>
              <w:adjustRightInd w:val="0"/>
              <w:ind w:left="60" w:right="60"/>
              <w:jc w:val="center"/>
              <w:rPr>
                <w:color w:val="000000"/>
              </w:rPr>
            </w:pPr>
          </w:p>
        </w:tc>
      </w:tr>
      <w:tr w:rsidR="001D34E9" w:rsidRPr="00E9486B" w:rsidTr="001D34E9">
        <w:tc>
          <w:tcPr>
            <w:tcW w:w="1560" w:type="dxa"/>
            <w:tcBorders>
              <w:top w:val="nil"/>
              <w:left w:val="nil"/>
              <w:bottom w:val="single" w:sz="4" w:space="0" w:color="auto"/>
              <w:right w:val="nil"/>
            </w:tcBorders>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S2</w:t>
            </w:r>
          </w:p>
        </w:tc>
        <w:tc>
          <w:tcPr>
            <w:tcW w:w="425" w:type="dxa"/>
            <w:tcBorders>
              <w:top w:val="nil"/>
              <w:left w:val="nil"/>
              <w:bottom w:val="single" w:sz="4" w:space="0" w:color="auto"/>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1</w:t>
            </w:r>
          </w:p>
        </w:tc>
        <w:tc>
          <w:tcPr>
            <w:tcW w:w="709" w:type="dxa"/>
            <w:tcBorders>
              <w:top w:val="nil"/>
              <w:left w:val="nil"/>
              <w:bottom w:val="single" w:sz="4" w:space="0" w:color="auto"/>
              <w:right w:val="nil"/>
            </w:tcBorders>
            <w:vAlign w:val="center"/>
            <w:hideMark/>
          </w:tcPr>
          <w:p w:rsidR="001D34E9" w:rsidRPr="00E9486B" w:rsidRDefault="001D34E9">
            <w:pPr>
              <w:tabs>
                <w:tab w:val="center" w:pos="4680"/>
                <w:tab w:val="right" w:pos="9360"/>
              </w:tabs>
              <w:autoSpaceDE w:val="0"/>
              <w:autoSpaceDN w:val="0"/>
              <w:adjustRightInd w:val="0"/>
              <w:jc w:val="center"/>
              <w:rPr>
                <w:bCs/>
              </w:rPr>
            </w:pPr>
            <w:r w:rsidRPr="00E9486B">
              <w:rPr>
                <w:bCs/>
                <w:sz w:val="22"/>
              </w:rPr>
              <w:t>3.3</w:t>
            </w:r>
          </w:p>
        </w:tc>
        <w:tc>
          <w:tcPr>
            <w:tcW w:w="709" w:type="dxa"/>
            <w:tcBorders>
              <w:top w:val="nil"/>
              <w:left w:val="nil"/>
              <w:bottom w:val="single" w:sz="4" w:space="0" w:color="auto"/>
              <w:right w:val="nil"/>
            </w:tcBorders>
          </w:tcPr>
          <w:p w:rsidR="001D34E9" w:rsidRPr="00E9486B" w:rsidRDefault="001D34E9">
            <w:pPr>
              <w:autoSpaceDE w:val="0"/>
              <w:autoSpaceDN w:val="0"/>
              <w:adjustRightInd w:val="0"/>
              <w:ind w:left="60" w:right="60"/>
              <w:jc w:val="center"/>
              <w:rPr>
                <w:color w:val="000000"/>
                <w:lang w:val="id-ID"/>
              </w:rPr>
            </w:pPr>
          </w:p>
        </w:tc>
        <w:tc>
          <w:tcPr>
            <w:tcW w:w="850" w:type="dxa"/>
            <w:tcBorders>
              <w:top w:val="nil"/>
              <w:left w:val="nil"/>
              <w:bottom w:val="single" w:sz="4" w:space="0" w:color="auto"/>
              <w:right w:val="nil"/>
            </w:tcBorders>
          </w:tcPr>
          <w:p w:rsidR="001D34E9" w:rsidRPr="00E9486B" w:rsidRDefault="001D34E9">
            <w:pPr>
              <w:autoSpaceDE w:val="0"/>
              <w:autoSpaceDN w:val="0"/>
              <w:adjustRightInd w:val="0"/>
              <w:ind w:left="60" w:right="60"/>
              <w:jc w:val="center"/>
              <w:rPr>
                <w:color w:val="000000"/>
              </w:rPr>
            </w:pPr>
          </w:p>
        </w:tc>
      </w:tr>
    </w:tbl>
    <w:p w:rsidR="001D34E9" w:rsidRPr="00E9486B" w:rsidRDefault="001D34E9" w:rsidP="00D461C1">
      <w:pPr>
        <w:ind w:right="48"/>
        <w:jc w:val="both"/>
        <w:rPr>
          <w:rFonts w:eastAsia="MS Mincho"/>
          <w:b/>
          <w:bCs/>
        </w:rPr>
      </w:pPr>
    </w:p>
    <w:p w:rsidR="00D461C1" w:rsidRPr="00E9486B" w:rsidRDefault="00D461C1" w:rsidP="001D34E9">
      <w:pPr>
        <w:ind w:right="48" w:firstLine="567"/>
        <w:jc w:val="both"/>
        <w:rPr>
          <w:rFonts w:eastAsia="MS Mincho"/>
        </w:rPr>
      </w:pPr>
      <w:r w:rsidRPr="00E9486B">
        <w:t xml:space="preserve">Tabel diatas </w:t>
      </w:r>
      <w:r w:rsidR="00A94D63" w:rsidRPr="00E9486B">
        <w:t xml:space="preserve">menunjukkan bahwa </w:t>
      </w:r>
      <w:r w:rsidR="001D34E9" w:rsidRPr="00E9486B">
        <w:t xml:space="preserve"> rata-rata umur responden adalah 37.93 tahun dengan standar deviasi </w:t>
      </w:r>
      <w:r w:rsidR="001D34E9" w:rsidRPr="00E9486B">
        <w:rPr>
          <w:u w:val="single"/>
        </w:rPr>
        <w:t>+</w:t>
      </w:r>
      <w:r w:rsidR="001D34E9" w:rsidRPr="00E9486B">
        <w:t xml:space="preserve"> 10.793. Sebagian besar responden adalah perempuan yakni 16 orang (53.3%) dan berpendidikan SMA yakni </w:t>
      </w:r>
      <w:r w:rsidR="001D34E9" w:rsidRPr="00E9486B">
        <w:rPr>
          <w:color w:val="000000"/>
        </w:rPr>
        <w:t>16 orang (53.3%).</w:t>
      </w:r>
    </w:p>
    <w:p w:rsidR="00D461C1" w:rsidRPr="00E9486B" w:rsidRDefault="00D461C1" w:rsidP="00D461C1">
      <w:pPr>
        <w:pStyle w:val="ListParagraph"/>
        <w:numPr>
          <w:ilvl w:val="0"/>
          <w:numId w:val="1"/>
        </w:numPr>
        <w:spacing w:after="0"/>
        <w:ind w:left="284" w:right="362" w:hanging="284"/>
        <w:jc w:val="both"/>
        <w:rPr>
          <w:rFonts w:ascii="Times New Roman" w:eastAsia="Arial Unicode MS" w:hAnsi="Times New Roman"/>
          <w:sz w:val="24"/>
          <w:szCs w:val="24"/>
          <w:lang w:val="id-ID"/>
        </w:rPr>
      </w:pPr>
      <w:r w:rsidRPr="00E9486B">
        <w:rPr>
          <w:rFonts w:ascii="Times New Roman" w:eastAsia="Arial Unicode MS" w:hAnsi="Times New Roman"/>
          <w:sz w:val="24"/>
          <w:szCs w:val="24"/>
        </w:rPr>
        <w:t xml:space="preserve">Analisis Univariat </w:t>
      </w:r>
    </w:p>
    <w:p w:rsidR="001D34E9" w:rsidRPr="00E9486B" w:rsidRDefault="00D461C1" w:rsidP="001D34E9">
      <w:pPr>
        <w:tabs>
          <w:tab w:val="left" w:pos="1701"/>
        </w:tabs>
        <w:autoSpaceDE w:val="0"/>
        <w:autoSpaceDN w:val="0"/>
        <w:adjustRightInd w:val="0"/>
        <w:jc w:val="both"/>
        <w:rPr>
          <w:b/>
          <w:bCs/>
        </w:rPr>
      </w:pPr>
      <w:r w:rsidRPr="00E9486B">
        <w:rPr>
          <w:rFonts w:eastAsia="Arial Unicode MS"/>
          <w:b/>
        </w:rPr>
        <w:t xml:space="preserve">Tabel 2. </w:t>
      </w:r>
      <w:r w:rsidR="00E9486B" w:rsidRPr="00E9486B">
        <w:rPr>
          <w:b/>
          <w:bCs/>
        </w:rPr>
        <w:t xml:space="preserve">Distribusi  </w:t>
      </w:r>
      <w:r w:rsidR="001D34E9" w:rsidRPr="00E9486B">
        <w:rPr>
          <w:b/>
          <w:bCs/>
        </w:rPr>
        <w:t>Variabel   Penelitian</w:t>
      </w:r>
    </w:p>
    <w:tbl>
      <w:tblPr>
        <w:tblW w:w="4111" w:type="dxa"/>
        <w:tblBorders>
          <w:top w:val="single" w:sz="4" w:space="0" w:color="000000"/>
          <w:bottom w:val="single" w:sz="4" w:space="0" w:color="000000"/>
        </w:tblBorders>
        <w:tblLayout w:type="fixed"/>
        <w:tblLook w:val="04A0"/>
      </w:tblPr>
      <w:tblGrid>
        <w:gridCol w:w="1843"/>
        <w:gridCol w:w="851"/>
        <w:gridCol w:w="1417"/>
      </w:tblGrid>
      <w:tr w:rsidR="00E9486B" w:rsidRPr="00E9486B" w:rsidTr="00E9486B">
        <w:tc>
          <w:tcPr>
            <w:tcW w:w="1843" w:type="dxa"/>
            <w:tcBorders>
              <w:top w:val="single" w:sz="2" w:space="0" w:color="000000"/>
              <w:left w:val="nil"/>
              <w:bottom w:val="single" w:sz="2" w:space="0" w:color="000000"/>
              <w:right w:val="nil"/>
            </w:tcBorders>
            <w:vAlign w:val="center"/>
            <w:hideMark/>
          </w:tcPr>
          <w:p w:rsidR="00E9486B" w:rsidRPr="00E9486B" w:rsidRDefault="00E9486B">
            <w:pPr>
              <w:tabs>
                <w:tab w:val="center" w:pos="4680"/>
                <w:tab w:val="right" w:pos="9360"/>
              </w:tabs>
              <w:autoSpaceDE w:val="0"/>
              <w:autoSpaceDN w:val="0"/>
              <w:adjustRightInd w:val="0"/>
              <w:rPr>
                <w:b/>
                <w:bCs/>
              </w:rPr>
            </w:pPr>
            <w:r w:rsidRPr="00E9486B">
              <w:rPr>
                <w:b/>
                <w:bCs/>
                <w:sz w:val="22"/>
              </w:rPr>
              <w:t>Variabel Penelitian</w:t>
            </w:r>
          </w:p>
        </w:tc>
        <w:tc>
          <w:tcPr>
            <w:tcW w:w="851" w:type="dxa"/>
            <w:tcBorders>
              <w:top w:val="single" w:sz="2" w:space="0" w:color="000000"/>
              <w:left w:val="nil"/>
              <w:bottom w:val="single" w:sz="2" w:space="0" w:color="000000"/>
              <w:right w:val="nil"/>
            </w:tcBorders>
            <w:vAlign w:val="center"/>
            <w:hideMark/>
          </w:tcPr>
          <w:p w:rsidR="00E9486B" w:rsidRPr="00E9486B" w:rsidRDefault="00E9486B">
            <w:pPr>
              <w:tabs>
                <w:tab w:val="center" w:pos="4680"/>
                <w:tab w:val="right" w:pos="9360"/>
              </w:tabs>
              <w:autoSpaceDE w:val="0"/>
              <w:autoSpaceDN w:val="0"/>
              <w:adjustRightInd w:val="0"/>
              <w:jc w:val="center"/>
              <w:rPr>
                <w:b/>
                <w:bCs/>
                <w:lang w:val="id-ID"/>
              </w:rPr>
            </w:pPr>
            <w:r w:rsidRPr="00E9486B">
              <w:rPr>
                <w:b/>
                <w:bCs/>
                <w:sz w:val="22"/>
              </w:rPr>
              <w:t xml:space="preserve">n </w:t>
            </w:r>
          </w:p>
        </w:tc>
        <w:tc>
          <w:tcPr>
            <w:tcW w:w="1417" w:type="dxa"/>
            <w:tcBorders>
              <w:top w:val="single" w:sz="2" w:space="0" w:color="000000"/>
              <w:left w:val="nil"/>
              <w:bottom w:val="single" w:sz="2" w:space="0" w:color="000000"/>
              <w:right w:val="nil"/>
            </w:tcBorders>
            <w:hideMark/>
          </w:tcPr>
          <w:p w:rsidR="00E9486B" w:rsidRPr="00E9486B" w:rsidRDefault="00E9486B">
            <w:pPr>
              <w:tabs>
                <w:tab w:val="center" w:pos="4680"/>
                <w:tab w:val="right" w:pos="9360"/>
              </w:tabs>
              <w:autoSpaceDE w:val="0"/>
              <w:autoSpaceDN w:val="0"/>
              <w:adjustRightInd w:val="0"/>
              <w:jc w:val="center"/>
              <w:rPr>
                <w:b/>
                <w:bCs/>
              </w:rPr>
            </w:pPr>
            <w:r w:rsidRPr="00E9486B">
              <w:rPr>
                <w:b/>
                <w:bCs/>
                <w:sz w:val="22"/>
              </w:rPr>
              <w:t>%</w:t>
            </w:r>
          </w:p>
        </w:tc>
      </w:tr>
      <w:tr w:rsidR="00E9486B" w:rsidRPr="00E9486B" w:rsidTr="00E9486B">
        <w:tc>
          <w:tcPr>
            <w:tcW w:w="1843" w:type="dxa"/>
            <w:tcBorders>
              <w:top w:val="single" w:sz="2" w:space="0" w:color="000000"/>
              <w:left w:val="nil"/>
              <w:bottom w:val="nil"/>
              <w:right w:val="nil"/>
            </w:tcBorders>
            <w:vAlign w:val="center"/>
            <w:hideMark/>
          </w:tcPr>
          <w:p w:rsidR="00E9486B" w:rsidRPr="00E9486B" w:rsidRDefault="00E9486B">
            <w:pPr>
              <w:tabs>
                <w:tab w:val="center" w:pos="4680"/>
                <w:tab w:val="right" w:pos="9360"/>
              </w:tabs>
              <w:autoSpaceDE w:val="0"/>
              <w:autoSpaceDN w:val="0"/>
              <w:adjustRightInd w:val="0"/>
              <w:rPr>
                <w:b/>
                <w:bCs/>
              </w:rPr>
            </w:pPr>
            <w:r w:rsidRPr="00E9486B">
              <w:rPr>
                <w:b/>
                <w:bCs/>
                <w:sz w:val="22"/>
              </w:rPr>
              <w:t>Kepercayaan</w:t>
            </w:r>
          </w:p>
        </w:tc>
        <w:tc>
          <w:tcPr>
            <w:tcW w:w="851" w:type="dxa"/>
            <w:tcBorders>
              <w:top w:val="single" w:sz="2" w:space="0" w:color="000000"/>
              <w:left w:val="nil"/>
              <w:bottom w:val="nil"/>
              <w:right w:val="nil"/>
            </w:tcBorders>
            <w:vAlign w:val="center"/>
          </w:tcPr>
          <w:p w:rsidR="00E9486B" w:rsidRPr="00E9486B" w:rsidRDefault="00E9486B">
            <w:pPr>
              <w:tabs>
                <w:tab w:val="center" w:pos="4680"/>
                <w:tab w:val="right" w:pos="9360"/>
              </w:tabs>
              <w:autoSpaceDE w:val="0"/>
              <w:autoSpaceDN w:val="0"/>
              <w:adjustRightInd w:val="0"/>
              <w:rPr>
                <w:b/>
                <w:bCs/>
                <w:lang w:val="id-ID"/>
              </w:rPr>
            </w:pPr>
          </w:p>
        </w:tc>
        <w:tc>
          <w:tcPr>
            <w:tcW w:w="1417" w:type="dxa"/>
            <w:tcBorders>
              <w:top w:val="single" w:sz="2" w:space="0" w:color="000000"/>
              <w:left w:val="nil"/>
              <w:bottom w:val="nil"/>
              <w:right w:val="nil"/>
            </w:tcBorders>
          </w:tcPr>
          <w:p w:rsidR="00E9486B" w:rsidRPr="00E9486B" w:rsidRDefault="00E9486B">
            <w:pPr>
              <w:tabs>
                <w:tab w:val="center" w:pos="4680"/>
                <w:tab w:val="right" w:pos="9360"/>
              </w:tabs>
              <w:autoSpaceDE w:val="0"/>
              <w:autoSpaceDN w:val="0"/>
              <w:adjustRightInd w:val="0"/>
              <w:rPr>
                <w:b/>
                <w:bCs/>
              </w:rPr>
            </w:pPr>
          </w:p>
        </w:tc>
      </w:tr>
      <w:tr w:rsidR="00E9486B" w:rsidRPr="00E9486B" w:rsidTr="00E9486B">
        <w:tc>
          <w:tcPr>
            <w:tcW w:w="1843" w:type="dxa"/>
            <w:tcBorders>
              <w:top w:val="nil"/>
              <w:left w:val="nil"/>
              <w:bottom w:val="nil"/>
              <w:right w:val="nil"/>
            </w:tcBorders>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Percaya</w:t>
            </w:r>
          </w:p>
        </w:tc>
        <w:tc>
          <w:tcPr>
            <w:tcW w:w="851" w:type="dxa"/>
            <w:tcBorders>
              <w:top w:val="nil"/>
              <w:left w:val="nil"/>
              <w:bottom w:val="nil"/>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17</w:t>
            </w:r>
          </w:p>
        </w:tc>
        <w:tc>
          <w:tcPr>
            <w:tcW w:w="1417" w:type="dxa"/>
            <w:tcBorders>
              <w:top w:val="nil"/>
              <w:left w:val="nil"/>
              <w:bottom w:val="nil"/>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56.7</w:t>
            </w:r>
          </w:p>
        </w:tc>
      </w:tr>
      <w:tr w:rsidR="00E9486B" w:rsidRPr="00E9486B" w:rsidTr="00E9486B">
        <w:tc>
          <w:tcPr>
            <w:tcW w:w="1843" w:type="dxa"/>
            <w:tcBorders>
              <w:top w:val="nil"/>
              <w:left w:val="nil"/>
              <w:bottom w:val="single" w:sz="4" w:space="0" w:color="auto"/>
              <w:right w:val="nil"/>
            </w:tcBorders>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Tdk Percaya</w:t>
            </w:r>
          </w:p>
        </w:tc>
        <w:tc>
          <w:tcPr>
            <w:tcW w:w="851" w:type="dxa"/>
            <w:tcBorders>
              <w:top w:val="nil"/>
              <w:left w:val="nil"/>
              <w:bottom w:val="single" w:sz="4" w:space="0" w:color="auto"/>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13</w:t>
            </w:r>
          </w:p>
        </w:tc>
        <w:tc>
          <w:tcPr>
            <w:tcW w:w="1417" w:type="dxa"/>
            <w:tcBorders>
              <w:top w:val="nil"/>
              <w:left w:val="nil"/>
              <w:bottom w:val="single" w:sz="4" w:space="0" w:color="auto"/>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43.3</w:t>
            </w:r>
          </w:p>
        </w:tc>
      </w:tr>
      <w:tr w:rsidR="00E9486B" w:rsidRPr="00E9486B" w:rsidTr="00E9486B">
        <w:tc>
          <w:tcPr>
            <w:tcW w:w="1843" w:type="dxa"/>
            <w:tcBorders>
              <w:top w:val="single" w:sz="4" w:space="0" w:color="auto"/>
              <w:left w:val="nil"/>
              <w:bottom w:val="nil"/>
              <w:right w:val="nil"/>
            </w:tcBorders>
            <w:vAlign w:val="center"/>
            <w:hideMark/>
          </w:tcPr>
          <w:p w:rsidR="00E9486B" w:rsidRPr="00E9486B" w:rsidRDefault="00E9486B">
            <w:pPr>
              <w:rPr>
                <w:b/>
                <w:i/>
                <w:shd w:val="clear" w:color="auto" w:fill="FFFFFF"/>
              </w:rPr>
            </w:pPr>
            <w:r w:rsidRPr="00E9486B">
              <w:rPr>
                <w:b/>
                <w:i/>
                <w:sz w:val="22"/>
                <w:shd w:val="clear" w:color="auto" w:fill="FFFFFF"/>
              </w:rPr>
              <w:t>Respon Time</w:t>
            </w:r>
          </w:p>
        </w:tc>
        <w:tc>
          <w:tcPr>
            <w:tcW w:w="851" w:type="dxa"/>
            <w:tcBorders>
              <w:top w:val="single" w:sz="4" w:space="0" w:color="auto"/>
              <w:left w:val="nil"/>
              <w:bottom w:val="nil"/>
              <w:right w:val="nil"/>
            </w:tcBorders>
            <w:vAlign w:val="center"/>
          </w:tcPr>
          <w:p w:rsidR="00E9486B" w:rsidRPr="00E9486B" w:rsidRDefault="00E9486B">
            <w:pPr>
              <w:rPr>
                <w:b/>
                <w:shd w:val="clear" w:color="auto" w:fill="FFFFFF"/>
                <w:lang w:val="id-ID"/>
              </w:rPr>
            </w:pPr>
          </w:p>
        </w:tc>
        <w:tc>
          <w:tcPr>
            <w:tcW w:w="1417" w:type="dxa"/>
            <w:tcBorders>
              <w:top w:val="single" w:sz="4" w:space="0" w:color="auto"/>
              <w:left w:val="nil"/>
              <w:bottom w:val="nil"/>
              <w:right w:val="nil"/>
            </w:tcBorders>
          </w:tcPr>
          <w:p w:rsidR="00E9486B" w:rsidRPr="00E9486B" w:rsidRDefault="00E9486B">
            <w:pPr>
              <w:rPr>
                <w:b/>
                <w:shd w:val="clear" w:color="auto" w:fill="FFFFFF"/>
              </w:rPr>
            </w:pPr>
          </w:p>
        </w:tc>
      </w:tr>
      <w:tr w:rsidR="00E9486B" w:rsidRPr="00E9486B" w:rsidTr="00E9486B">
        <w:tc>
          <w:tcPr>
            <w:tcW w:w="1843" w:type="dxa"/>
            <w:tcBorders>
              <w:top w:val="nil"/>
              <w:left w:val="nil"/>
              <w:bottom w:val="nil"/>
              <w:right w:val="nil"/>
            </w:tcBorders>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Cepat</w:t>
            </w:r>
          </w:p>
        </w:tc>
        <w:tc>
          <w:tcPr>
            <w:tcW w:w="851" w:type="dxa"/>
            <w:tcBorders>
              <w:top w:val="nil"/>
              <w:left w:val="nil"/>
              <w:bottom w:val="nil"/>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18</w:t>
            </w:r>
          </w:p>
        </w:tc>
        <w:tc>
          <w:tcPr>
            <w:tcW w:w="1417" w:type="dxa"/>
            <w:tcBorders>
              <w:top w:val="nil"/>
              <w:left w:val="nil"/>
              <w:bottom w:val="nil"/>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60.0</w:t>
            </w:r>
          </w:p>
        </w:tc>
      </w:tr>
      <w:tr w:rsidR="00E9486B" w:rsidRPr="00E9486B" w:rsidTr="00E9486B">
        <w:tc>
          <w:tcPr>
            <w:tcW w:w="1843" w:type="dxa"/>
            <w:tcBorders>
              <w:top w:val="nil"/>
              <w:left w:val="nil"/>
              <w:bottom w:val="single" w:sz="4" w:space="0" w:color="auto"/>
              <w:right w:val="nil"/>
            </w:tcBorders>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Lambat</w:t>
            </w:r>
          </w:p>
        </w:tc>
        <w:tc>
          <w:tcPr>
            <w:tcW w:w="851" w:type="dxa"/>
            <w:tcBorders>
              <w:top w:val="nil"/>
              <w:left w:val="nil"/>
              <w:bottom w:val="single" w:sz="4" w:space="0" w:color="auto"/>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12</w:t>
            </w:r>
          </w:p>
        </w:tc>
        <w:tc>
          <w:tcPr>
            <w:tcW w:w="1417" w:type="dxa"/>
            <w:tcBorders>
              <w:top w:val="nil"/>
              <w:left w:val="nil"/>
              <w:bottom w:val="single" w:sz="4" w:space="0" w:color="auto"/>
              <w:right w:val="nil"/>
            </w:tcBorders>
            <w:vAlign w:val="center"/>
            <w:hideMark/>
          </w:tcPr>
          <w:p w:rsidR="00E9486B" w:rsidRPr="00E9486B" w:rsidRDefault="00E9486B">
            <w:pPr>
              <w:tabs>
                <w:tab w:val="center" w:pos="4680"/>
                <w:tab w:val="right" w:pos="9360"/>
              </w:tabs>
              <w:autoSpaceDE w:val="0"/>
              <w:autoSpaceDN w:val="0"/>
              <w:adjustRightInd w:val="0"/>
              <w:jc w:val="center"/>
              <w:rPr>
                <w:bCs/>
              </w:rPr>
            </w:pPr>
            <w:r w:rsidRPr="00E9486B">
              <w:rPr>
                <w:bCs/>
                <w:sz w:val="22"/>
              </w:rPr>
              <w:t>40.0</w:t>
            </w:r>
          </w:p>
        </w:tc>
      </w:tr>
    </w:tbl>
    <w:p w:rsidR="00A94D63" w:rsidRPr="00E9486B" w:rsidRDefault="00A94D63" w:rsidP="00A94D63">
      <w:pPr>
        <w:tabs>
          <w:tab w:val="left" w:pos="1560"/>
        </w:tabs>
        <w:jc w:val="both"/>
        <w:rPr>
          <w:b/>
          <w:lang w:val="id-ID"/>
        </w:rPr>
      </w:pPr>
    </w:p>
    <w:p w:rsidR="00D461C1" w:rsidRPr="00E9486B" w:rsidRDefault="00D461C1" w:rsidP="00E9486B">
      <w:pPr>
        <w:ind w:right="48" w:firstLine="567"/>
        <w:jc w:val="both"/>
      </w:pPr>
      <w:r w:rsidRPr="00E9486B">
        <w:t xml:space="preserve">Tabel diatas </w:t>
      </w:r>
      <w:r w:rsidR="00AE0207" w:rsidRPr="00E9486B">
        <w:t xml:space="preserve">menunjukkan </w:t>
      </w:r>
      <w:r w:rsidR="00E9486B" w:rsidRPr="00E9486B">
        <w:t xml:space="preserve">bahwa sebagian besar responden adalah percaya kepada perawat dalam memberikan pelayanan yakni 17 orang (56.7%) dan sebagian besar </w:t>
      </w:r>
      <w:r w:rsidR="00E9486B" w:rsidRPr="00E9486B">
        <w:rPr>
          <w:i/>
        </w:rPr>
        <w:t>respon time</w:t>
      </w:r>
      <w:r w:rsidR="00E9486B" w:rsidRPr="00E9486B">
        <w:t xml:space="preserve"> kategori cepat yakni sebanyak </w:t>
      </w:r>
      <w:r w:rsidR="00E9486B" w:rsidRPr="00E9486B">
        <w:rPr>
          <w:color w:val="000000"/>
        </w:rPr>
        <w:t>18 orang (60.0%).</w:t>
      </w:r>
    </w:p>
    <w:p w:rsidR="00D461C1" w:rsidRPr="00E9486B" w:rsidRDefault="00D461C1" w:rsidP="00D461C1">
      <w:pPr>
        <w:pStyle w:val="ListParagraph"/>
        <w:numPr>
          <w:ilvl w:val="0"/>
          <w:numId w:val="1"/>
        </w:numPr>
        <w:spacing w:after="0"/>
        <w:ind w:left="284" w:right="362" w:hanging="284"/>
        <w:jc w:val="both"/>
        <w:rPr>
          <w:rFonts w:ascii="Times New Roman" w:eastAsia="Arial Unicode MS" w:hAnsi="Times New Roman"/>
          <w:sz w:val="24"/>
          <w:lang w:val="id-ID"/>
        </w:rPr>
      </w:pPr>
      <w:r w:rsidRPr="00E9486B">
        <w:rPr>
          <w:rFonts w:ascii="Times New Roman" w:eastAsia="Arial Unicode MS" w:hAnsi="Times New Roman"/>
          <w:sz w:val="24"/>
        </w:rPr>
        <w:t>Analisis Bivariat</w:t>
      </w:r>
    </w:p>
    <w:p w:rsidR="00E9486B" w:rsidRPr="00E9486B" w:rsidRDefault="00D461C1" w:rsidP="00E9486B">
      <w:pPr>
        <w:ind w:right="48"/>
        <w:jc w:val="both"/>
        <w:rPr>
          <w:b/>
        </w:rPr>
      </w:pPr>
      <w:r w:rsidRPr="00E9486B">
        <w:rPr>
          <w:b/>
        </w:rPr>
        <w:t>Tabel 3.</w:t>
      </w:r>
      <w:r w:rsidR="00AE0207" w:rsidRPr="00E9486B">
        <w:rPr>
          <w:b/>
          <w:lang w:val="id-ID"/>
        </w:rPr>
        <w:t>Distribusi</w:t>
      </w:r>
      <w:r w:rsidR="00E9486B" w:rsidRPr="00E9486B">
        <w:rPr>
          <w:b/>
        </w:rPr>
        <w:t xml:space="preserve">Hubungan   </w:t>
      </w:r>
      <w:r w:rsidR="00E9486B" w:rsidRPr="00E9486B">
        <w:rPr>
          <w:b/>
          <w:i/>
        </w:rPr>
        <w:t>Respon   Time</w:t>
      </w:r>
      <w:r w:rsidR="00E9486B" w:rsidRPr="00E9486B">
        <w:rPr>
          <w:b/>
        </w:rPr>
        <w:t xml:space="preserve"> Perawat  Dengan  Tingkat Kepercayaan Keluarga Pasien Triase Kuning</w:t>
      </w:r>
    </w:p>
    <w:tbl>
      <w:tblPr>
        <w:tblW w:w="4676" w:type="dxa"/>
        <w:tblInd w:w="-142" w:type="dxa"/>
        <w:tblBorders>
          <w:top w:val="single" w:sz="4" w:space="0" w:color="000000"/>
          <w:bottom w:val="single" w:sz="4" w:space="0" w:color="000000"/>
        </w:tblBorders>
        <w:tblLayout w:type="fixed"/>
        <w:tblLook w:val="04A0"/>
      </w:tblPr>
      <w:tblGrid>
        <w:gridCol w:w="851"/>
        <w:gridCol w:w="425"/>
        <w:gridCol w:w="571"/>
        <w:gridCol w:w="422"/>
        <w:gridCol w:w="567"/>
        <w:gridCol w:w="564"/>
        <w:gridCol w:w="567"/>
        <w:gridCol w:w="709"/>
      </w:tblGrid>
      <w:tr w:rsidR="008E64B9" w:rsidRPr="00E9486B" w:rsidTr="008E64B9">
        <w:trPr>
          <w:trHeight w:val="70"/>
        </w:trPr>
        <w:tc>
          <w:tcPr>
            <w:tcW w:w="851" w:type="dxa"/>
            <w:vMerge w:val="restart"/>
            <w:tcBorders>
              <w:top w:val="single" w:sz="4" w:space="0" w:color="000000"/>
              <w:left w:val="nil"/>
              <w:bottom w:val="single" w:sz="4" w:space="0" w:color="auto"/>
              <w:right w:val="nil"/>
            </w:tcBorders>
            <w:vAlign w:val="center"/>
            <w:hideMark/>
          </w:tcPr>
          <w:p w:rsidR="008E64B9" w:rsidRPr="00E9486B" w:rsidRDefault="008E64B9">
            <w:pPr>
              <w:jc w:val="center"/>
              <w:rPr>
                <w:b/>
                <w:sz w:val="18"/>
              </w:rPr>
            </w:pPr>
            <w:r w:rsidRPr="00E9486B">
              <w:rPr>
                <w:b/>
                <w:i/>
                <w:sz w:val="18"/>
              </w:rPr>
              <w:t xml:space="preserve">Respon </w:t>
            </w:r>
            <w:r w:rsidRPr="00E9486B">
              <w:rPr>
                <w:b/>
                <w:i/>
                <w:sz w:val="18"/>
              </w:rPr>
              <w:lastRenderedPageBreak/>
              <w:t>Time</w:t>
            </w:r>
          </w:p>
        </w:tc>
        <w:tc>
          <w:tcPr>
            <w:tcW w:w="1985" w:type="dxa"/>
            <w:gridSpan w:val="4"/>
            <w:tcBorders>
              <w:top w:val="single" w:sz="4" w:space="0" w:color="000000"/>
              <w:left w:val="nil"/>
              <w:bottom w:val="single" w:sz="4" w:space="0" w:color="000000"/>
              <w:right w:val="nil"/>
            </w:tcBorders>
            <w:vAlign w:val="center"/>
            <w:hideMark/>
          </w:tcPr>
          <w:p w:rsidR="008E64B9" w:rsidRPr="00E9486B" w:rsidRDefault="008E64B9">
            <w:pPr>
              <w:jc w:val="center"/>
              <w:rPr>
                <w:rFonts w:eastAsiaTheme="minorHAnsi"/>
                <w:b/>
                <w:sz w:val="18"/>
              </w:rPr>
            </w:pPr>
            <w:r w:rsidRPr="00E9486B">
              <w:rPr>
                <w:b/>
                <w:sz w:val="18"/>
              </w:rPr>
              <w:lastRenderedPageBreak/>
              <w:t xml:space="preserve">Kepercayaan </w:t>
            </w:r>
            <w:r w:rsidRPr="00E9486B">
              <w:rPr>
                <w:b/>
                <w:sz w:val="18"/>
              </w:rPr>
              <w:lastRenderedPageBreak/>
              <w:t>Keluarga</w:t>
            </w:r>
          </w:p>
        </w:tc>
        <w:tc>
          <w:tcPr>
            <w:tcW w:w="564" w:type="dxa"/>
            <w:vMerge w:val="restart"/>
            <w:tcBorders>
              <w:top w:val="single" w:sz="4" w:space="0" w:color="000000"/>
              <w:left w:val="nil"/>
              <w:bottom w:val="single" w:sz="4" w:space="0" w:color="000000"/>
              <w:right w:val="nil"/>
            </w:tcBorders>
            <w:vAlign w:val="center"/>
            <w:hideMark/>
          </w:tcPr>
          <w:p w:rsidR="008E64B9" w:rsidRPr="00E9486B" w:rsidRDefault="008E64B9" w:rsidP="00E9486B">
            <w:pPr>
              <w:ind w:left="-116" w:right="-113"/>
              <w:jc w:val="center"/>
              <w:rPr>
                <w:b/>
                <w:i/>
                <w:sz w:val="18"/>
                <w:lang w:val="id-ID"/>
              </w:rPr>
            </w:pPr>
            <w:r w:rsidRPr="00E9486B">
              <w:rPr>
                <w:b/>
                <w:i/>
                <w:sz w:val="18"/>
              </w:rPr>
              <w:lastRenderedPageBreak/>
              <w:t>Total</w:t>
            </w:r>
          </w:p>
        </w:tc>
        <w:tc>
          <w:tcPr>
            <w:tcW w:w="567" w:type="dxa"/>
            <w:vMerge w:val="restart"/>
            <w:tcBorders>
              <w:top w:val="single" w:sz="4" w:space="0" w:color="000000"/>
              <w:left w:val="nil"/>
              <w:bottom w:val="single" w:sz="4" w:space="0" w:color="000000"/>
              <w:right w:val="nil"/>
            </w:tcBorders>
            <w:vAlign w:val="center"/>
            <w:hideMark/>
          </w:tcPr>
          <w:p w:rsidR="008E64B9" w:rsidRPr="00E9486B" w:rsidRDefault="008E64B9">
            <w:pPr>
              <w:jc w:val="center"/>
              <w:rPr>
                <w:b/>
                <w:i/>
                <w:sz w:val="18"/>
              </w:rPr>
            </w:pPr>
            <w:r w:rsidRPr="00E9486B">
              <w:rPr>
                <w:b/>
                <w:i/>
                <w:sz w:val="18"/>
              </w:rPr>
              <w:t>%</w:t>
            </w:r>
          </w:p>
        </w:tc>
        <w:tc>
          <w:tcPr>
            <w:tcW w:w="709" w:type="dxa"/>
            <w:vMerge w:val="restart"/>
            <w:tcBorders>
              <w:top w:val="single" w:sz="4" w:space="0" w:color="000000"/>
              <w:left w:val="nil"/>
              <w:bottom w:val="single" w:sz="4" w:space="0" w:color="000000"/>
              <w:right w:val="nil"/>
            </w:tcBorders>
            <w:vAlign w:val="center"/>
            <w:hideMark/>
          </w:tcPr>
          <w:p w:rsidR="008E64B9" w:rsidRPr="00E9486B" w:rsidRDefault="008E64B9">
            <w:pPr>
              <w:jc w:val="center"/>
              <w:rPr>
                <w:b/>
                <w:i/>
                <w:sz w:val="18"/>
              </w:rPr>
            </w:pPr>
            <w:r w:rsidRPr="00E9486B">
              <w:rPr>
                <w:b/>
                <w:i/>
                <w:sz w:val="18"/>
              </w:rPr>
              <w:t xml:space="preserve">p </w:t>
            </w:r>
            <w:r w:rsidRPr="00E9486B">
              <w:rPr>
                <w:b/>
                <w:i/>
                <w:sz w:val="18"/>
              </w:rPr>
              <w:lastRenderedPageBreak/>
              <w:t>value</w:t>
            </w:r>
          </w:p>
        </w:tc>
      </w:tr>
      <w:tr w:rsidR="008E64B9" w:rsidRPr="00E9486B" w:rsidTr="008E64B9">
        <w:trPr>
          <w:trHeight w:val="70"/>
        </w:trPr>
        <w:tc>
          <w:tcPr>
            <w:tcW w:w="851" w:type="dxa"/>
            <w:vMerge/>
            <w:tcBorders>
              <w:top w:val="single" w:sz="4" w:space="0" w:color="000000"/>
              <w:left w:val="nil"/>
              <w:bottom w:val="single" w:sz="4" w:space="0" w:color="auto"/>
              <w:right w:val="nil"/>
            </w:tcBorders>
            <w:vAlign w:val="center"/>
            <w:hideMark/>
          </w:tcPr>
          <w:p w:rsidR="008E64B9" w:rsidRPr="00E9486B" w:rsidRDefault="008E64B9">
            <w:pPr>
              <w:rPr>
                <w:b/>
                <w:sz w:val="18"/>
              </w:rPr>
            </w:pPr>
          </w:p>
        </w:tc>
        <w:tc>
          <w:tcPr>
            <w:tcW w:w="996" w:type="dxa"/>
            <w:gridSpan w:val="2"/>
            <w:tcBorders>
              <w:top w:val="single" w:sz="4" w:space="0" w:color="auto"/>
              <w:left w:val="nil"/>
              <w:bottom w:val="single" w:sz="4" w:space="0" w:color="000000"/>
              <w:right w:val="nil"/>
            </w:tcBorders>
            <w:vAlign w:val="center"/>
            <w:hideMark/>
          </w:tcPr>
          <w:p w:rsidR="008E64B9" w:rsidRPr="00E9486B" w:rsidRDefault="008E64B9">
            <w:pPr>
              <w:ind w:left="-108" w:right="-109"/>
              <w:contextualSpacing/>
              <w:jc w:val="center"/>
              <w:rPr>
                <w:b/>
                <w:sz w:val="18"/>
              </w:rPr>
            </w:pPr>
            <w:r w:rsidRPr="00E9486B">
              <w:rPr>
                <w:b/>
                <w:sz w:val="18"/>
              </w:rPr>
              <w:t>Percaya</w:t>
            </w:r>
          </w:p>
        </w:tc>
        <w:tc>
          <w:tcPr>
            <w:tcW w:w="989" w:type="dxa"/>
            <w:gridSpan w:val="2"/>
            <w:tcBorders>
              <w:top w:val="single" w:sz="4" w:space="0" w:color="000000"/>
              <w:left w:val="nil"/>
              <w:bottom w:val="single" w:sz="4" w:space="0" w:color="000000"/>
              <w:right w:val="nil"/>
            </w:tcBorders>
            <w:vAlign w:val="center"/>
            <w:hideMark/>
          </w:tcPr>
          <w:p w:rsidR="008E64B9" w:rsidRPr="00E9486B" w:rsidRDefault="008E64B9">
            <w:pPr>
              <w:jc w:val="center"/>
              <w:rPr>
                <w:b/>
                <w:sz w:val="18"/>
              </w:rPr>
            </w:pPr>
            <w:r w:rsidRPr="00E9486B">
              <w:rPr>
                <w:b/>
                <w:sz w:val="18"/>
              </w:rPr>
              <w:t>Tdk Percaya</w:t>
            </w:r>
          </w:p>
        </w:tc>
        <w:tc>
          <w:tcPr>
            <w:tcW w:w="564" w:type="dxa"/>
            <w:vMerge/>
            <w:tcBorders>
              <w:top w:val="single" w:sz="4" w:space="0" w:color="000000"/>
              <w:left w:val="nil"/>
              <w:bottom w:val="single" w:sz="4" w:space="0" w:color="000000"/>
              <w:right w:val="nil"/>
            </w:tcBorders>
            <w:vAlign w:val="center"/>
            <w:hideMark/>
          </w:tcPr>
          <w:p w:rsidR="008E64B9" w:rsidRPr="00E9486B" w:rsidRDefault="008E64B9">
            <w:pPr>
              <w:rPr>
                <w:b/>
                <w:i/>
                <w:sz w:val="18"/>
                <w:lang w:val="id-ID"/>
              </w:rPr>
            </w:pPr>
          </w:p>
        </w:tc>
        <w:tc>
          <w:tcPr>
            <w:tcW w:w="567" w:type="dxa"/>
            <w:vMerge/>
            <w:tcBorders>
              <w:top w:val="single" w:sz="4" w:space="0" w:color="000000"/>
              <w:left w:val="nil"/>
              <w:bottom w:val="single" w:sz="4" w:space="0" w:color="000000"/>
              <w:right w:val="nil"/>
            </w:tcBorders>
            <w:vAlign w:val="center"/>
            <w:hideMark/>
          </w:tcPr>
          <w:p w:rsidR="008E64B9" w:rsidRPr="00E9486B" w:rsidRDefault="008E64B9">
            <w:pPr>
              <w:rPr>
                <w:b/>
                <w:i/>
                <w:sz w:val="18"/>
                <w:lang w:val="id-ID"/>
              </w:rPr>
            </w:pPr>
          </w:p>
        </w:tc>
        <w:tc>
          <w:tcPr>
            <w:tcW w:w="709" w:type="dxa"/>
            <w:vMerge/>
            <w:tcBorders>
              <w:top w:val="single" w:sz="4" w:space="0" w:color="000000"/>
              <w:left w:val="nil"/>
              <w:bottom w:val="single" w:sz="4" w:space="0" w:color="000000"/>
              <w:right w:val="nil"/>
            </w:tcBorders>
            <w:vAlign w:val="center"/>
            <w:hideMark/>
          </w:tcPr>
          <w:p w:rsidR="008E64B9" w:rsidRPr="00E9486B" w:rsidRDefault="008E64B9">
            <w:pPr>
              <w:rPr>
                <w:b/>
                <w:i/>
                <w:sz w:val="18"/>
                <w:lang w:val="id-ID"/>
              </w:rPr>
            </w:pPr>
          </w:p>
        </w:tc>
      </w:tr>
      <w:tr w:rsidR="008E64B9" w:rsidRPr="00E9486B" w:rsidTr="008E64B9">
        <w:trPr>
          <w:trHeight w:val="80"/>
        </w:trPr>
        <w:tc>
          <w:tcPr>
            <w:tcW w:w="851" w:type="dxa"/>
            <w:vMerge/>
            <w:tcBorders>
              <w:top w:val="single" w:sz="4" w:space="0" w:color="000000"/>
              <w:left w:val="nil"/>
              <w:bottom w:val="single" w:sz="4" w:space="0" w:color="auto"/>
              <w:right w:val="nil"/>
            </w:tcBorders>
            <w:vAlign w:val="center"/>
            <w:hideMark/>
          </w:tcPr>
          <w:p w:rsidR="008E64B9" w:rsidRPr="00E9486B" w:rsidRDefault="008E64B9">
            <w:pPr>
              <w:rPr>
                <w:b/>
                <w:sz w:val="18"/>
              </w:rPr>
            </w:pPr>
          </w:p>
        </w:tc>
        <w:tc>
          <w:tcPr>
            <w:tcW w:w="425" w:type="dxa"/>
            <w:tcBorders>
              <w:top w:val="single" w:sz="4" w:space="0" w:color="000000"/>
              <w:left w:val="nil"/>
              <w:bottom w:val="single" w:sz="4" w:space="0" w:color="000000"/>
              <w:right w:val="nil"/>
            </w:tcBorders>
            <w:vAlign w:val="center"/>
            <w:hideMark/>
          </w:tcPr>
          <w:p w:rsidR="008E64B9" w:rsidRPr="00E9486B" w:rsidRDefault="008E64B9">
            <w:pPr>
              <w:jc w:val="center"/>
              <w:rPr>
                <w:b/>
                <w:sz w:val="18"/>
                <w:lang w:val="id-ID"/>
              </w:rPr>
            </w:pPr>
            <w:r w:rsidRPr="00E9486B">
              <w:rPr>
                <w:b/>
                <w:sz w:val="18"/>
              </w:rPr>
              <w:t>n</w:t>
            </w:r>
          </w:p>
        </w:tc>
        <w:tc>
          <w:tcPr>
            <w:tcW w:w="571" w:type="dxa"/>
            <w:tcBorders>
              <w:top w:val="single" w:sz="4" w:space="0" w:color="000000"/>
              <w:left w:val="nil"/>
              <w:bottom w:val="single" w:sz="4" w:space="0" w:color="000000"/>
              <w:right w:val="nil"/>
            </w:tcBorders>
            <w:vAlign w:val="center"/>
            <w:hideMark/>
          </w:tcPr>
          <w:p w:rsidR="008E64B9" w:rsidRPr="00E9486B" w:rsidRDefault="008E64B9">
            <w:pPr>
              <w:jc w:val="center"/>
              <w:rPr>
                <w:b/>
                <w:sz w:val="18"/>
              </w:rPr>
            </w:pPr>
            <w:r w:rsidRPr="00E9486B">
              <w:rPr>
                <w:b/>
                <w:sz w:val="18"/>
              </w:rPr>
              <w:t>%</w:t>
            </w:r>
          </w:p>
        </w:tc>
        <w:tc>
          <w:tcPr>
            <w:tcW w:w="422" w:type="dxa"/>
            <w:tcBorders>
              <w:top w:val="single" w:sz="4" w:space="0" w:color="000000"/>
              <w:left w:val="nil"/>
              <w:bottom w:val="single" w:sz="4" w:space="0" w:color="000000"/>
              <w:right w:val="nil"/>
            </w:tcBorders>
            <w:vAlign w:val="center"/>
            <w:hideMark/>
          </w:tcPr>
          <w:p w:rsidR="008E64B9" w:rsidRPr="00E9486B" w:rsidRDefault="008E64B9">
            <w:pPr>
              <w:jc w:val="center"/>
              <w:rPr>
                <w:b/>
                <w:sz w:val="18"/>
              </w:rPr>
            </w:pPr>
            <w:r w:rsidRPr="00E9486B">
              <w:rPr>
                <w:b/>
                <w:sz w:val="18"/>
              </w:rPr>
              <w:t>n</w:t>
            </w:r>
          </w:p>
        </w:tc>
        <w:tc>
          <w:tcPr>
            <w:tcW w:w="567" w:type="dxa"/>
            <w:tcBorders>
              <w:top w:val="single" w:sz="4" w:space="0" w:color="000000"/>
              <w:left w:val="nil"/>
              <w:bottom w:val="single" w:sz="4" w:space="0" w:color="000000"/>
              <w:right w:val="nil"/>
            </w:tcBorders>
            <w:vAlign w:val="center"/>
            <w:hideMark/>
          </w:tcPr>
          <w:p w:rsidR="008E64B9" w:rsidRPr="00E9486B" w:rsidRDefault="008E64B9">
            <w:pPr>
              <w:jc w:val="center"/>
              <w:rPr>
                <w:b/>
                <w:sz w:val="18"/>
              </w:rPr>
            </w:pPr>
            <w:r w:rsidRPr="00E9486B">
              <w:rPr>
                <w:b/>
                <w:sz w:val="18"/>
              </w:rPr>
              <w:t>%</w:t>
            </w:r>
          </w:p>
        </w:tc>
        <w:tc>
          <w:tcPr>
            <w:tcW w:w="564" w:type="dxa"/>
            <w:tcBorders>
              <w:top w:val="single" w:sz="4" w:space="0" w:color="000000"/>
              <w:left w:val="nil"/>
              <w:bottom w:val="single" w:sz="4" w:space="0" w:color="000000"/>
              <w:right w:val="nil"/>
            </w:tcBorders>
            <w:vAlign w:val="center"/>
            <w:hideMark/>
          </w:tcPr>
          <w:p w:rsidR="008E64B9" w:rsidRPr="00E9486B" w:rsidRDefault="008E64B9">
            <w:pPr>
              <w:rPr>
                <w:b/>
                <w:i/>
                <w:sz w:val="18"/>
                <w:lang w:val="id-ID"/>
              </w:rPr>
            </w:pPr>
          </w:p>
        </w:tc>
        <w:tc>
          <w:tcPr>
            <w:tcW w:w="567" w:type="dxa"/>
            <w:tcBorders>
              <w:top w:val="single" w:sz="4" w:space="0" w:color="000000"/>
              <w:left w:val="nil"/>
              <w:bottom w:val="single" w:sz="4" w:space="0" w:color="000000"/>
              <w:right w:val="nil"/>
            </w:tcBorders>
            <w:vAlign w:val="center"/>
            <w:hideMark/>
          </w:tcPr>
          <w:p w:rsidR="008E64B9" w:rsidRPr="00E9486B" w:rsidRDefault="008E64B9">
            <w:pPr>
              <w:rPr>
                <w:b/>
                <w:i/>
                <w:sz w:val="18"/>
                <w:lang w:val="id-ID"/>
              </w:rPr>
            </w:pPr>
          </w:p>
        </w:tc>
        <w:tc>
          <w:tcPr>
            <w:tcW w:w="709" w:type="dxa"/>
            <w:tcBorders>
              <w:top w:val="single" w:sz="4" w:space="0" w:color="000000"/>
              <w:left w:val="nil"/>
              <w:bottom w:val="single" w:sz="4" w:space="0" w:color="000000"/>
              <w:right w:val="nil"/>
            </w:tcBorders>
            <w:vAlign w:val="center"/>
            <w:hideMark/>
          </w:tcPr>
          <w:p w:rsidR="008E64B9" w:rsidRPr="00E9486B" w:rsidRDefault="008E64B9">
            <w:pPr>
              <w:rPr>
                <w:b/>
                <w:i/>
                <w:sz w:val="18"/>
                <w:lang w:val="id-ID"/>
              </w:rPr>
            </w:pPr>
          </w:p>
        </w:tc>
      </w:tr>
      <w:tr w:rsidR="008E64B9" w:rsidRPr="00E9486B" w:rsidTr="008E64B9">
        <w:trPr>
          <w:trHeight w:val="80"/>
        </w:trPr>
        <w:tc>
          <w:tcPr>
            <w:tcW w:w="851" w:type="dxa"/>
            <w:tcBorders>
              <w:top w:val="single" w:sz="4" w:space="0" w:color="auto"/>
              <w:left w:val="nil"/>
              <w:bottom w:val="nil"/>
              <w:right w:val="nil"/>
            </w:tcBorders>
            <w:hideMark/>
          </w:tcPr>
          <w:p w:rsidR="008E64B9" w:rsidRPr="00E9486B" w:rsidRDefault="008E64B9">
            <w:pPr>
              <w:jc w:val="center"/>
              <w:rPr>
                <w:b/>
                <w:sz w:val="18"/>
              </w:rPr>
            </w:pPr>
            <w:r w:rsidRPr="00E9486B">
              <w:rPr>
                <w:b/>
                <w:sz w:val="18"/>
              </w:rPr>
              <w:t>Cepat</w:t>
            </w:r>
          </w:p>
        </w:tc>
        <w:tc>
          <w:tcPr>
            <w:tcW w:w="425" w:type="dxa"/>
            <w:tcBorders>
              <w:top w:val="single" w:sz="4" w:space="0" w:color="000000"/>
              <w:left w:val="nil"/>
              <w:bottom w:val="nil"/>
              <w:right w:val="nil"/>
            </w:tcBorders>
            <w:vAlign w:val="center"/>
            <w:hideMark/>
          </w:tcPr>
          <w:p w:rsidR="008E64B9" w:rsidRPr="00E9486B" w:rsidRDefault="008E64B9">
            <w:pPr>
              <w:jc w:val="center"/>
              <w:rPr>
                <w:sz w:val="18"/>
              </w:rPr>
            </w:pPr>
            <w:r w:rsidRPr="00E9486B">
              <w:rPr>
                <w:sz w:val="18"/>
              </w:rPr>
              <w:t>14</w:t>
            </w:r>
          </w:p>
        </w:tc>
        <w:tc>
          <w:tcPr>
            <w:tcW w:w="571" w:type="dxa"/>
            <w:tcBorders>
              <w:top w:val="single" w:sz="4" w:space="0" w:color="000000"/>
              <w:left w:val="nil"/>
              <w:bottom w:val="nil"/>
              <w:right w:val="nil"/>
            </w:tcBorders>
            <w:vAlign w:val="center"/>
            <w:hideMark/>
          </w:tcPr>
          <w:p w:rsidR="008E64B9" w:rsidRPr="00E9486B" w:rsidRDefault="008E64B9">
            <w:pPr>
              <w:jc w:val="center"/>
              <w:rPr>
                <w:sz w:val="18"/>
              </w:rPr>
            </w:pPr>
            <w:r w:rsidRPr="00E9486B">
              <w:rPr>
                <w:sz w:val="18"/>
              </w:rPr>
              <w:t>46.7</w:t>
            </w:r>
          </w:p>
        </w:tc>
        <w:tc>
          <w:tcPr>
            <w:tcW w:w="422" w:type="dxa"/>
            <w:tcBorders>
              <w:top w:val="single" w:sz="4" w:space="0" w:color="000000"/>
              <w:left w:val="nil"/>
              <w:bottom w:val="nil"/>
              <w:right w:val="nil"/>
            </w:tcBorders>
            <w:vAlign w:val="center"/>
            <w:hideMark/>
          </w:tcPr>
          <w:p w:rsidR="008E64B9" w:rsidRPr="00E9486B" w:rsidRDefault="008E64B9">
            <w:pPr>
              <w:jc w:val="center"/>
              <w:rPr>
                <w:sz w:val="18"/>
              </w:rPr>
            </w:pPr>
            <w:r w:rsidRPr="00E9486B">
              <w:rPr>
                <w:sz w:val="18"/>
              </w:rPr>
              <w:t>4</w:t>
            </w:r>
          </w:p>
        </w:tc>
        <w:tc>
          <w:tcPr>
            <w:tcW w:w="567" w:type="dxa"/>
            <w:tcBorders>
              <w:top w:val="single" w:sz="4" w:space="0" w:color="000000"/>
              <w:left w:val="nil"/>
              <w:bottom w:val="nil"/>
              <w:right w:val="nil"/>
            </w:tcBorders>
            <w:vAlign w:val="center"/>
            <w:hideMark/>
          </w:tcPr>
          <w:p w:rsidR="008E64B9" w:rsidRPr="00E9486B" w:rsidRDefault="008E64B9">
            <w:pPr>
              <w:jc w:val="center"/>
              <w:rPr>
                <w:sz w:val="18"/>
              </w:rPr>
            </w:pPr>
            <w:r w:rsidRPr="00E9486B">
              <w:rPr>
                <w:sz w:val="18"/>
              </w:rPr>
              <w:t>13.3</w:t>
            </w:r>
          </w:p>
        </w:tc>
        <w:tc>
          <w:tcPr>
            <w:tcW w:w="564" w:type="dxa"/>
            <w:tcBorders>
              <w:top w:val="single" w:sz="4" w:space="0" w:color="000000"/>
              <w:left w:val="nil"/>
              <w:bottom w:val="nil"/>
              <w:right w:val="nil"/>
            </w:tcBorders>
            <w:vAlign w:val="center"/>
            <w:hideMark/>
          </w:tcPr>
          <w:p w:rsidR="008E64B9" w:rsidRPr="00E9486B" w:rsidRDefault="008E64B9">
            <w:pPr>
              <w:jc w:val="center"/>
              <w:rPr>
                <w:sz w:val="18"/>
              </w:rPr>
            </w:pPr>
            <w:r w:rsidRPr="00E9486B">
              <w:rPr>
                <w:sz w:val="18"/>
              </w:rPr>
              <w:t>18</w:t>
            </w:r>
          </w:p>
        </w:tc>
        <w:tc>
          <w:tcPr>
            <w:tcW w:w="567" w:type="dxa"/>
            <w:tcBorders>
              <w:top w:val="single" w:sz="4" w:space="0" w:color="000000"/>
              <w:left w:val="nil"/>
              <w:bottom w:val="nil"/>
              <w:right w:val="nil"/>
            </w:tcBorders>
            <w:vAlign w:val="center"/>
            <w:hideMark/>
          </w:tcPr>
          <w:p w:rsidR="008E64B9" w:rsidRPr="00E9486B" w:rsidRDefault="008E64B9">
            <w:pPr>
              <w:jc w:val="center"/>
              <w:rPr>
                <w:sz w:val="18"/>
              </w:rPr>
            </w:pPr>
            <w:r w:rsidRPr="00E9486B">
              <w:rPr>
                <w:sz w:val="18"/>
              </w:rPr>
              <w:t>60.0</w:t>
            </w:r>
          </w:p>
        </w:tc>
        <w:tc>
          <w:tcPr>
            <w:tcW w:w="709" w:type="dxa"/>
            <w:vMerge w:val="restart"/>
            <w:tcBorders>
              <w:top w:val="single" w:sz="4" w:space="0" w:color="000000"/>
              <w:left w:val="nil"/>
              <w:bottom w:val="single" w:sz="4" w:space="0" w:color="000000"/>
              <w:right w:val="nil"/>
            </w:tcBorders>
            <w:hideMark/>
          </w:tcPr>
          <w:p w:rsidR="008E64B9" w:rsidRPr="00E9486B" w:rsidRDefault="008E64B9">
            <w:pPr>
              <w:jc w:val="center"/>
              <w:rPr>
                <w:sz w:val="18"/>
              </w:rPr>
            </w:pPr>
            <w:r w:rsidRPr="00E9486B">
              <w:rPr>
                <w:sz w:val="18"/>
              </w:rPr>
              <w:t>0.004</w:t>
            </w:r>
          </w:p>
        </w:tc>
      </w:tr>
      <w:tr w:rsidR="008E64B9" w:rsidRPr="00E9486B" w:rsidTr="008E64B9">
        <w:trPr>
          <w:trHeight w:val="80"/>
        </w:trPr>
        <w:tc>
          <w:tcPr>
            <w:tcW w:w="851" w:type="dxa"/>
            <w:tcBorders>
              <w:top w:val="nil"/>
              <w:left w:val="nil"/>
              <w:bottom w:val="single" w:sz="4" w:space="0" w:color="auto"/>
              <w:right w:val="nil"/>
            </w:tcBorders>
            <w:hideMark/>
          </w:tcPr>
          <w:p w:rsidR="008E64B9" w:rsidRPr="00E9486B" w:rsidRDefault="008E64B9">
            <w:pPr>
              <w:jc w:val="center"/>
              <w:rPr>
                <w:b/>
                <w:sz w:val="18"/>
              </w:rPr>
            </w:pPr>
            <w:r w:rsidRPr="00E9486B">
              <w:rPr>
                <w:b/>
                <w:sz w:val="18"/>
              </w:rPr>
              <w:t>Lambat</w:t>
            </w:r>
          </w:p>
        </w:tc>
        <w:tc>
          <w:tcPr>
            <w:tcW w:w="425" w:type="dxa"/>
            <w:tcBorders>
              <w:top w:val="nil"/>
              <w:left w:val="nil"/>
              <w:bottom w:val="single" w:sz="4" w:space="0" w:color="000000"/>
              <w:right w:val="nil"/>
            </w:tcBorders>
            <w:vAlign w:val="center"/>
            <w:hideMark/>
          </w:tcPr>
          <w:p w:rsidR="008E64B9" w:rsidRPr="00E9486B" w:rsidRDefault="008E64B9">
            <w:pPr>
              <w:jc w:val="center"/>
              <w:rPr>
                <w:sz w:val="18"/>
              </w:rPr>
            </w:pPr>
            <w:r w:rsidRPr="00E9486B">
              <w:rPr>
                <w:sz w:val="18"/>
              </w:rPr>
              <w:t>3</w:t>
            </w:r>
          </w:p>
        </w:tc>
        <w:tc>
          <w:tcPr>
            <w:tcW w:w="571" w:type="dxa"/>
            <w:tcBorders>
              <w:top w:val="nil"/>
              <w:left w:val="nil"/>
              <w:bottom w:val="single" w:sz="4" w:space="0" w:color="000000"/>
              <w:right w:val="nil"/>
            </w:tcBorders>
            <w:vAlign w:val="center"/>
            <w:hideMark/>
          </w:tcPr>
          <w:p w:rsidR="008E64B9" w:rsidRPr="00E9486B" w:rsidRDefault="008E64B9">
            <w:pPr>
              <w:jc w:val="center"/>
              <w:rPr>
                <w:sz w:val="18"/>
              </w:rPr>
            </w:pPr>
            <w:r w:rsidRPr="00E9486B">
              <w:rPr>
                <w:sz w:val="18"/>
              </w:rPr>
              <w:t>10.0</w:t>
            </w:r>
          </w:p>
        </w:tc>
        <w:tc>
          <w:tcPr>
            <w:tcW w:w="422" w:type="dxa"/>
            <w:tcBorders>
              <w:top w:val="nil"/>
              <w:left w:val="nil"/>
              <w:bottom w:val="single" w:sz="4" w:space="0" w:color="000000"/>
              <w:right w:val="nil"/>
            </w:tcBorders>
            <w:vAlign w:val="center"/>
            <w:hideMark/>
          </w:tcPr>
          <w:p w:rsidR="008E64B9" w:rsidRPr="00E9486B" w:rsidRDefault="008E64B9">
            <w:pPr>
              <w:jc w:val="center"/>
              <w:rPr>
                <w:sz w:val="18"/>
              </w:rPr>
            </w:pPr>
            <w:r w:rsidRPr="00E9486B">
              <w:rPr>
                <w:sz w:val="18"/>
              </w:rPr>
              <w:t>9</w:t>
            </w:r>
          </w:p>
        </w:tc>
        <w:tc>
          <w:tcPr>
            <w:tcW w:w="567" w:type="dxa"/>
            <w:tcBorders>
              <w:top w:val="nil"/>
              <w:left w:val="nil"/>
              <w:bottom w:val="single" w:sz="4" w:space="0" w:color="000000"/>
              <w:right w:val="nil"/>
            </w:tcBorders>
            <w:vAlign w:val="center"/>
            <w:hideMark/>
          </w:tcPr>
          <w:p w:rsidR="008E64B9" w:rsidRPr="00E9486B" w:rsidRDefault="008E64B9">
            <w:pPr>
              <w:tabs>
                <w:tab w:val="center" w:pos="4680"/>
                <w:tab w:val="right" w:pos="9360"/>
              </w:tabs>
              <w:autoSpaceDE w:val="0"/>
              <w:autoSpaceDN w:val="0"/>
              <w:adjustRightInd w:val="0"/>
              <w:jc w:val="center"/>
              <w:rPr>
                <w:sz w:val="18"/>
              </w:rPr>
            </w:pPr>
            <w:r w:rsidRPr="00E9486B">
              <w:rPr>
                <w:sz w:val="18"/>
              </w:rPr>
              <w:t>30.0</w:t>
            </w:r>
          </w:p>
        </w:tc>
        <w:tc>
          <w:tcPr>
            <w:tcW w:w="564" w:type="dxa"/>
            <w:tcBorders>
              <w:top w:val="nil"/>
              <w:left w:val="nil"/>
              <w:bottom w:val="single" w:sz="4" w:space="0" w:color="000000"/>
              <w:right w:val="nil"/>
            </w:tcBorders>
            <w:vAlign w:val="center"/>
            <w:hideMark/>
          </w:tcPr>
          <w:p w:rsidR="008E64B9" w:rsidRPr="00E9486B" w:rsidRDefault="008E64B9">
            <w:pPr>
              <w:jc w:val="center"/>
              <w:rPr>
                <w:sz w:val="18"/>
              </w:rPr>
            </w:pPr>
            <w:r w:rsidRPr="00E9486B">
              <w:rPr>
                <w:sz w:val="18"/>
              </w:rPr>
              <w:t>12</w:t>
            </w:r>
          </w:p>
        </w:tc>
        <w:tc>
          <w:tcPr>
            <w:tcW w:w="567" w:type="dxa"/>
            <w:tcBorders>
              <w:top w:val="nil"/>
              <w:left w:val="nil"/>
              <w:bottom w:val="single" w:sz="4" w:space="0" w:color="000000"/>
              <w:right w:val="nil"/>
            </w:tcBorders>
            <w:vAlign w:val="center"/>
            <w:hideMark/>
          </w:tcPr>
          <w:p w:rsidR="008E64B9" w:rsidRPr="00E9486B" w:rsidRDefault="008E64B9">
            <w:pPr>
              <w:jc w:val="center"/>
              <w:rPr>
                <w:sz w:val="18"/>
              </w:rPr>
            </w:pPr>
            <w:r w:rsidRPr="00E9486B">
              <w:rPr>
                <w:sz w:val="18"/>
              </w:rPr>
              <w:t>40.0</w:t>
            </w:r>
          </w:p>
        </w:tc>
        <w:tc>
          <w:tcPr>
            <w:tcW w:w="709" w:type="dxa"/>
            <w:vMerge/>
            <w:tcBorders>
              <w:top w:val="single" w:sz="4" w:space="0" w:color="000000"/>
              <w:left w:val="nil"/>
              <w:bottom w:val="single" w:sz="4" w:space="0" w:color="000000"/>
              <w:right w:val="nil"/>
            </w:tcBorders>
            <w:vAlign w:val="center"/>
            <w:hideMark/>
          </w:tcPr>
          <w:p w:rsidR="008E64B9" w:rsidRPr="00E9486B" w:rsidRDefault="008E64B9">
            <w:pPr>
              <w:rPr>
                <w:sz w:val="18"/>
              </w:rPr>
            </w:pPr>
          </w:p>
        </w:tc>
      </w:tr>
      <w:tr w:rsidR="008E64B9" w:rsidRPr="00E9486B" w:rsidTr="008E64B9">
        <w:trPr>
          <w:trHeight w:val="75"/>
        </w:trPr>
        <w:tc>
          <w:tcPr>
            <w:tcW w:w="851" w:type="dxa"/>
            <w:tcBorders>
              <w:top w:val="single" w:sz="4" w:space="0" w:color="auto"/>
              <w:left w:val="nil"/>
              <w:bottom w:val="single" w:sz="4" w:space="0" w:color="000000"/>
              <w:right w:val="nil"/>
            </w:tcBorders>
            <w:hideMark/>
          </w:tcPr>
          <w:p w:rsidR="008E64B9" w:rsidRPr="00E9486B" w:rsidRDefault="008E64B9">
            <w:pPr>
              <w:jc w:val="center"/>
              <w:rPr>
                <w:b/>
                <w:sz w:val="18"/>
                <w:lang w:val="id-ID"/>
              </w:rPr>
            </w:pPr>
            <w:r w:rsidRPr="00E9486B">
              <w:rPr>
                <w:b/>
                <w:sz w:val="18"/>
              </w:rPr>
              <w:t>Total</w:t>
            </w:r>
          </w:p>
        </w:tc>
        <w:tc>
          <w:tcPr>
            <w:tcW w:w="425" w:type="dxa"/>
            <w:tcBorders>
              <w:top w:val="single" w:sz="4" w:space="0" w:color="000000"/>
              <w:left w:val="nil"/>
              <w:bottom w:val="single" w:sz="4" w:space="0" w:color="000000"/>
              <w:right w:val="nil"/>
            </w:tcBorders>
            <w:vAlign w:val="center"/>
            <w:hideMark/>
          </w:tcPr>
          <w:p w:rsidR="008E64B9" w:rsidRPr="00E9486B" w:rsidRDefault="008E64B9">
            <w:pPr>
              <w:jc w:val="center"/>
              <w:rPr>
                <w:sz w:val="18"/>
              </w:rPr>
            </w:pPr>
            <w:r w:rsidRPr="00E9486B">
              <w:rPr>
                <w:sz w:val="18"/>
              </w:rPr>
              <w:t>17</w:t>
            </w:r>
          </w:p>
        </w:tc>
        <w:tc>
          <w:tcPr>
            <w:tcW w:w="571" w:type="dxa"/>
            <w:tcBorders>
              <w:top w:val="single" w:sz="4" w:space="0" w:color="000000"/>
              <w:left w:val="nil"/>
              <w:bottom w:val="single" w:sz="4" w:space="0" w:color="000000"/>
              <w:right w:val="nil"/>
            </w:tcBorders>
            <w:vAlign w:val="center"/>
            <w:hideMark/>
          </w:tcPr>
          <w:p w:rsidR="008E64B9" w:rsidRPr="00E9486B" w:rsidRDefault="008E64B9">
            <w:pPr>
              <w:jc w:val="center"/>
              <w:rPr>
                <w:sz w:val="18"/>
              </w:rPr>
            </w:pPr>
            <w:r w:rsidRPr="00E9486B">
              <w:rPr>
                <w:sz w:val="18"/>
              </w:rPr>
              <w:t>56.7</w:t>
            </w:r>
          </w:p>
        </w:tc>
        <w:tc>
          <w:tcPr>
            <w:tcW w:w="422" w:type="dxa"/>
            <w:tcBorders>
              <w:top w:val="single" w:sz="4" w:space="0" w:color="000000"/>
              <w:left w:val="nil"/>
              <w:bottom w:val="single" w:sz="4" w:space="0" w:color="000000"/>
              <w:right w:val="nil"/>
            </w:tcBorders>
            <w:vAlign w:val="center"/>
            <w:hideMark/>
          </w:tcPr>
          <w:p w:rsidR="008E64B9" w:rsidRPr="00E9486B" w:rsidRDefault="008E64B9">
            <w:pPr>
              <w:jc w:val="center"/>
              <w:rPr>
                <w:sz w:val="18"/>
              </w:rPr>
            </w:pPr>
            <w:r w:rsidRPr="00E9486B">
              <w:rPr>
                <w:sz w:val="18"/>
              </w:rPr>
              <w:t>13</w:t>
            </w:r>
          </w:p>
        </w:tc>
        <w:tc>
          <w:tcPr>
            <w:tcW w:w="567" w:type="dxa"/>
            <w:tcBorders>
              <w:top w:val="single" w:sz="4" w:space="0" w:color="000000"/>
              <w:left w:val="nil"/>
              <w:bottom w:val="single" w:sz="4" w:space="0" w:color="000000"/>
              <w:right w:val="nil"/>
            </w:tcBorders>
            <w:vAlign w:val="center"/>
            <w:hideMark/>
          </w:tcPr>
          <w:p w:rsidR="008E64B9" w:rsidRPr="00E9486B" w:rsidRDefault="008E64B9">
            <w:pPr>
              <w:jc w:val="center"/>
              <w:rPr>
                <w:sz w:val="18"/>
              </w:rPr>
            </w:pPr>
            <w:r w:rsidRPr="00E9486B">
              <w:rPr>
                <w:sz w:val="18"/>
              </w:rPr>
              <w:t>43.3</w:t>
            </w:r>
          </w:p>
        </w:tc>
        <w:tc>
          <w:tcPr>
            <w:tcW w:w="564" w:type="dxa"/>
            <w:tcBorders>
              <w:top w:val="single" w:sz="4" w:space="0" w:color="000000"/>
              <w:left w:val="nil"/>
              <w:bottom w:val="single" w:sz="4" w:space="0" w:color="000000"/>
              <w:right w:val="nil"/>
            </w:tcBorders>
            <w:vAlign w:val="center"/>
            <w:hideMark/>
          </w:tcPr>
          <w:p w:rsidR="008E64B9" w:rsidRPr="00E9486B" w:rsidRDefault="008E64B9">
            <w:pPr>
              <w:jc w:val="center"/>
              <w:rPr>
                <w:sz w:val="18"/>
              </w:rPr>
            </w:pPr>
            <w:r w:rsidRPr="00E9486B">
              <w:rPr>
                <w:sz w:val="18"/>
              </w:rPr>
              <w:t>30</w:t>
            </w:r>
          </w:p>
        </w:tc>
        <w:tc>
          <w:tcPr>
            <w:tcW w:w="567" w:type="dxa"/>
            <w:tcBorders>
              <w:top w:val="single" w:sz="4" w:space="0" w:color="000000"/>
              <w:left w:val="nil"/>
              <w:bottom w:val="single" w:sz="4" w:space="0" w:color="000000"/>
              <w:right w:val="nil"/>
            </w:tcBorders>
            <w:vAlign w:val="center"/>
            <w:hideMark/>
          </w:tcPr>
          <w:p w:rsidR="008E64B9" w:rsidRPr="00E9486B" w:rsidRDefault="008E64B9">
            <w:pPr>
              <w:jc w:val="center"/>
              <w:rPr>
                <w:sz w:val="18"/>
              </w:rPr>
            </w:pPr>
            <w:r w:rsidRPr="00E9486B">
              <w:rPr>
                <w:sz w:val="18"/>
              </w:rPr>
              <w:t>100</w:t>
            </w:r>
          </w:p>
        </w:tc>
        <w:tc>
          <w:tcPr>
            <w:tcW w:w="709" w:type="dxa"/>
            <w:vMerge/>
            <w:tcBorders>
              <w:top w:val="single" w:sz="4" w:space="0" w:color="000000"/>
              <w:left w:val="nil"/>
              <w:bottom w:val="single" w:sz="4" w:space="0" w:color="000000"/>
              <w:right w:val="nil"/>
            </w:tcBorders>
            <w:vAlign w:val="center"/>
            <w:hideMark/>
          </w:tcPr>
          <w:p w:rsidR="008E64B9" w:rsidRPr="00E9486B" w:rsidRDefault="008E64B9">
            <w:pPr>
              <w:rPr>
                <w:sz w:val="18"/>
              </w:rPr>
            </w:pPr>
          </w:p>
        </w:tc>
      </w:tr>
    </w:tbl>
    <w:p w:rsidR="00E9486B" w:rsidRPr="00E9486B" w:rsidRDefault="00E9486B" w:rsidP="00D461C1">
      <w:pPr>
        <w:pStyle w:val="ListParagraph"/>
        <w:spacing w:after="0"/>
        <w:ind w:left="284" w:right="362"/>
        <w:jc w:val="both"/>
        <w:rPr>
          <w:rFonts w:ascii="Times New Roman" w:eastAsia="Arial Unicode MS" w:hAnsi="Times New Roman"/>
          <w:lang w:val="id-ID"/>
        </w:rPr>
      </w:pPr>
    </w:p>
    <w:p w:rsidR="00D461C1" w:rsidRDefault="00D461C1" w:rsidP="00AE0207">
      <w:pPr>
        <w:ind w:right="48" w:firstLine="567"/>
        <w:jc w:val="both"/>
        <w:rPr>
          <w:b/>
        </w:rPr>
      </w:pPr>
      <w:r w:rsidRPr="00E9486B">
        <w:t xml:space="preserve">Tabel diatas </w:t>
      </w:r>
      <w:r w:rsidR="00AE0207" w:rsidRPr="00E9486B">
        <w:t xml:space="preserve">menunjukkan </w:t>
      </w:r>
      <w:r w:rsidR="00E9486B" w:rsidRPr="00E9486B">
        <w:rPr>
          <w:szCs w:val="32"/>
        </w:rPr>
        <w:t xml:space="preserve">bahwa </w:t>
      </w:r>
      <w:r w:rsidR="00E9486B" w:rsidRPr="00E9486B">
        <w:rPr>
          <w:i/>
          <w:szCs w:val="32"/>
        </w:rPr>
        <w:t xml:space="preserve">respon time </w:t>
      </w:r>
      <w:r w:rsidR="00E9486B" w:rsidRPr="00E9486B">
        <w:rPr>
          <w:szCs w:val="32"/>
        </w:rPr>
        <w:t xml:space="preserve">cepat dan keluarga percaya sebanyak 14 orang (46.7%), </w:t>
      </w:r>
      <w:r w:rsidR="00E9486B" w:rsidRPr="00E9486B">
        <w:rPr>
          <w:i/>
          <w:szCs w:val="32"/>
        </w:rPr>
        <w:t xml:space="preserve">respon time </w:t>
      </w:r>
      <w:r w:rsidR="00E9486B" w:rsidRPr="00E9486B">
        <w:rPr>
          <w:szCs w:val="32"/>
        </w:rPr>
        <w:t xml:space="preserve">cepat dan keluarga tidak percaya sebanyak 4 orang (13.3%). </w:t>
      </w:r>
      <w:r w:rsidR="00E9486B" w:rsidRPr="00E9486B">
        <w:rPr>
          <w:i/>
          <w:szCs w:val="32"/>
        </w:rPr>
        <w:t xml:space="preserve">Respon time </w:t>
      </w:r>
      <w:r w:rsidR="00E9486B" w:rsidRPr="00E9486B">
        <w:rPr>
          <w:szCs w:val="32"/>
        </w:rPr>
        <w:t xml:space="preserve">lambat dan keluarga percaya sebanyak 3 orang (10.0%) dan </w:t>
      </w:r>
      <w:r w:rsidR="00E9486B" w:rsidRPr="00E9486B">
        <w:rPr>
          <w:i/>
          <w:szCs w:val="32"/>
        </w:rPr>
        <w:t xml:space="preserve">respon time </w:t>
      </w:r>
      <w:r w:rsidR="00E9486B" w:rsidRPr="00E9486B">
        <w:rPr>
          <w:szCs w:val="32"/>
        </w:rPr>
        <w:t xml:space="preserve">lambat dan keluarga tidak percaya sebanyak 9 orang (30.0%). Hasil uji analisis </w:t>
      </w:r>
      <w:r w:rsidR="00E9486B" w:rsidRPr="00E9486B">
        <w:rPr>
          <w:i/>
          <w:szCs w:val="32"/>
        </w:rPr>
        <w:t>chi square</w:t>
      </w:r>
      <w:r w:rsidR="00E9486B" w:rsidRPr="00E9486B">
        <w:rPr>
          <w:szCs w:val="32"/>
        </w:rPr>
        <w:t xml:space="preserve"> dengan tingkat kemaknaan 95%, diperoleh nilai </w:t>
      </w:r>
      <w:r w:rsidR="00E9486B" w:rsidRPr="00E9486B">
        <w:rPr>
          <w:i/>
          <w:szCs w:val="32"/>
        </w:rPr>
        <w:t>pvalue</w:t>
      </w:r>
      <w:r w:rsidR="00E9486B" w:rsidRPr="00E9486B">
        <w:rPr>
          <w:szCs w:val="32"/>
        </w:rPr>
        <w:t xml:space="preserve"> = 0.004 yang berarti bahwa hipotesis Ha diterima dan Ho ditolak</w:t>
      </w:r>
      <w:r w:rsidR="008E64B9">
        <w:rPr>
          <w:szCs w:val="32"/>
        </w:rPr>
        <w:t xml:space="preserve">. </w:t>
      </w:r>
      <w:r w:rsidR="00E9486B" w:rsidRPr="00E9486B">
        <w:rPr>
          <w:szCs w:val="32"/>
        </w:rPr>
        <w:t xml:space="preserve">Sehingga dapat disimpulkan bahwa </w:t>
      </w:r>
      <w:r w:rsidR="00E9486B" w:rsidRPr="00E9486B">
        <w:t>hubungan cukup kuat antara respon time perawat dengan tingkat kepercayaan keluarga pasien triase kuning</w:t>
      </w:r>
      <w:r w:rsidR="00E9486B" w:rsidRPr="00E9486B">
        <w:rPr>
          <w:b/>
        </w:rPr>
        <w:t>.</w:t>
      </w:r>
    </w:p>
    <w:p w:rsidR="00906703" w:rsidRDefault="00906703" w:rsidP="00AE0207">
      <w:pPr>
        <w:ind w:right="48" w:firstLine="567"/>
        <w:jc w:val="both"/>
        <w:rPr>
          <w:b/>
        </w:rPr>
      </w:pPr>
    </w:p>
    <w:p w:rsidR="00906703" w:rsidRDefault="00906703" w:rsidP="00AE0207">
      <w:pPr>
        <w:ind w:right="48" w:firstLine="567"/>
        <w:jc w:val="both"/>
        <w:rPr>
          <w:b/>
        </w:rPr>
      </w:pPr>
    </w:p>
    <w:p w:rsidR="00906703" w:rsidRDefault="00906703" w:rsidP="00AE0207">
      <w:pPr>
        <w:ind w:right="48" w:firstLine="567"/>
        <w:jc w:val="both"/>
        <w:rPr>
          <w:b/>
        </w:rPr>
      </w:pPr>
    </w:p>
    <w:p w:rsidR="00906703" w:rsidRPr="00E9486B" w:rsidRDefault="00906703" w:rsidP="00AE0207">
      <w:pPr>
        <w:ind w:right="48" w:firstLine="567"/>
        <w:jc w:val="both"/>
        <w:rPr>
          <w:rFonts w:eastAsia="MS Mincho"/>
        </w:rPr>
      </w:pPr>
    </w:p>
    <w:p w:rsidR="00D461C1" w:rsidRPr="00E9486B" w:rsidRDefault="00D461C1" w:rsidP="00D461C1">
      <w:pPr>
        <w:ind w:right="48"/>
        <w:jc w:val="both"/>
        <w:rPr>
          <w:b/>
          <w:iCs/>
        </w:rPr>
      </w:pPr>
    </w:p>
    <w:p w:rsidR="00D461C1" w:rsidRPr="00E9486B" w:rsidRDefault="00D461C1" w:rsidP="00D461C1">
      <w:pPr>
        <w:ind w:right="55"/>
        <w:rPr>
          <w:rFonts w:eastAsia="Arial Unicode MS"/>
          <w:b/>
        </w:rPr>
      </w:pPr>
      <w:r w:rsidRPr="00E9486B">
        <w:rPr>
          <w:rFonts w:eastAsia="Arial Unicode MS"/>
          <w:b/>
        </w:rPr>
        <w:t>Pembahasan</w:t>
      </w:r>
    </w:p>
    <w:p w:rsidR="00345538" w:rsidRPr="00E9486B" w:rsidRDefault="00345538" w:rsidP="00D461C1">
      <w:pPr>
        <w:ind w:right="55"/>
        <w:rPr>
          <w:rFonts w:eastAsia="Arial Unicode MS"/>
          <w:b/>
        </w:rPr>
      </w:pPr>
    </w:p>
    <w:p w:rsidR="00E9486B" w:rsidRPr="00E9486B" w:rsidRDefault="00E9486B" w:rsidP="00E9486B">
      <w:pPr>
        <w:jc w:val="both"/>
        <w:rPr>
          <w:b/>
        </w:rPr>
      </w:pPr>
      <w:r w:rsidRPr="00E9486B">
        <w:rPr>
          <w:b/>
        </w:rPr>
        <w:t>Respon time perawat</w:t>
      </w:r>
    </w:p>
    <w:p w:rsidR="00E9486B" w:rsidRPr="00E9486B" w:rsidRDefault="00E9486B" w:rsidP="00E9486B">
      <w:pPr>
        <w:ind w:right="48" w:firstLine="567"/>
        <w:jc w:val="both"/>
        <w:rPr>
          <w:lang w:val="id-ID"/>
        </w:rPr>
      </w:pPr>
      <w:r w:rsidRPr="00E9486B">
        <w:t xml:space="preserve">Berdasarkan hasil penelitian diperoleh bahwa sebagian besar </w:t>
      </w:r>
      <w:r w:rsidRPr="00E9486B">
        <w:rPr>
          <w:i/>
        </w:rPr>
        <w:t>respon time</w:t>
      </w:r>
      <w:r w:rsidRPr="00E9486B">
        <w:t xml:space="preserve"> kategori cepat yakni sebanyak </w:t>
      </w:r>
      <w:r w:rsidRPr="00E9486B">
        <w:rPr>
          <w:color w:val="000000"/>
        </w:rPr>
        <w:t xml:space="preserve">18 orang (60.0%). Hal ini karena perawat dapat melakukan triase dengan baik dan tidak mengkesampingkan pasien dengan triase kuning, terbukti bahwa dari hasil observasi peneliti perawat dengan segera melayani pasien dengan kategori triase kuning setelah pasien triase merah sudah diberikan pelayanan kegawatdaruratan. Selain itu, sebagian besar responden berpendidikan kategori tinggi yakni </w:t>
      </w:r>
      <w:r w:rsidRPr="00E9486B">
        <w:t xml:space="preserve">berpendidikan SMA yakni </w:t>
      </w:r>
      <w:r w:rsidRPr="00E9486B">
        <w:rPr>
          <w:color w:val="000000"/>
        </w:rPr>
        <w:t xml:space="preserve">16 orang (53.3%). Dengan pendidikan yang </w:t>
      </w:r>
      <w:r w:rsidRPr="00E9486B">
        <w:rPr>
          <w:color w:val="000000"/>
        </w:rPr>
        <w:lastRenderedPageBreak/>
        <w:t xml:space="preserve">tinggi responden dapat memahami bahwa pasien gawat darurat dan lebih parah kondisinya daripada responden patut untuk diprioritaskan. </w:t>
      </w:r>
      <w:r w:rsidRPr="00E9486B">
        <w:t xml:space="preserve">Sebagian kecil perawat yang memiliki masa kerja lama dan </w:t>
      </w:r>
      <w:r w:rsidRPr="00E9486B">
        <w:rPr>
          <w:i/>
        </w:rPr>
        <w:t>response time</w:t>
      </w:r>
      <w:r w:rsidRPr="00E9486B">
        <w:t xml:space="preserve"> lambat, karena pada saat penelitian berlangsung pasien yang masuk ke IGD banyak secara bersamaan, sehingga mereka harus melakukan triase dan memprioritaskan pasien mana yang terlebih dahulu ditangani, sehingga ada pasien dengan triase hijau, terlambat untuk ditangani karena prioritas tersebut.</w:t>
      </w:r>
    </w:p>
    <w:p w:rsidR="00E9486B" w:rsidRPr="00E9486B" w:rsidRDefault="00E9486B" w:rsidP="00E9486B">
      <w:pPr>
        <w:ind w:right="48" w:firstLine="567"/>
        <w:jc w:val="both"/>
      </w:pPr>
      <w:r w:rsidRPr="00E9486B">
        <w:rPr>
          <w:color w:val="000000"/>
        </w:rPr>
        <w:t xml:space="preserve">Response Time atau waktu tanggap adalah kecepatan waktu penanganan yang dimulai </w:t>
      </w:r>
      <w:r w:rsidRPr="00E9486B">
        <w:t>dari</w:t>
      </w:r>
      <w:r w:rsidRPr="00E9486B">
        <w:rPr>
          <w:color w:val="000000"/>
        </w:rPr>
        <w:t xml:space="preserve"> pasien datang ke IGD sampai pasien mendapatkan tindakan awal akibat masalah kesehatan yang dialami </w:t>
      </w:r>
      <w:r w:rsidR="00440C50" w:rsidRPr="00E9486B">
        <w:rPr>
          <w:color w:val="000000"/>
        </w:rPr>
        <w:fldChar w:fldCharType="begin" w:fldLock="1"/>
      </w:r>
      <w:r w:rsidR="00B52B01">
        <w:rPr>
          <w:color w:val="000000"/>
        </w:rPr>
        <w:instrText>ADDIN CSL_CITATION {"citationItems":[{"id":"ITEM-1","itemData":{"ISBN":"1981042920060","abstract":"PERANAN DAN AKTIVITAS PRAMUSAJI DI PAVILION RESTORAN JW MARRIOTT HOTEL SURABAYA (The role and activity of the waiter in the Pavilion Restaurant JW Marriott Hotel Surabaya)","author":[{"dropping-particle":"","family":"Istizhada","given":"Aulia Elma Nafia","non-dropping-particle":"","parse-names":false,"suffix":""}],"id":"ITEM-1","issued":{"date-parts":[["2019"]]},"publisher":"Universitas Jember","title":"Gambaran Response Time dan Lama Triage di Instalasi Gawat Darurat (IGD) Rumah Sakit Baladhika Husada Jember","type":"thesis"},"uris":["http://www.mendeley.com/documents/?uuid=c94a37f6-188a-40a8-99da-c040a0c41e90"]}],"mendeley":{"formattedCitation":"&lt;span style=\"baseline\"&gt;(7)&lt;/span&gt;","plainTextFormattedCitation":"(7)","previouslyFormattedCitation":"&lt;span style=\"baseline\"&gt;(7)&lt;/span&gt;"},"properties":{"noteIndex":0},"schema":"https://github.com/citation-style-language/schema/raw/master/csl-citation.json"}</w:instrText>
      </w:r>
      <w:r w:rsidR="00440C50" w:rsidRPr="00E9486B">
        <w:rPr>
          <w:color w:val="000000"/>
        </w:rPr>
        <w:fldChar w:fldCharType="separate"/>
      </w:r>
      <w:r w:rsidR="00B52B01" w:rsidRPr="00B52B01">
        <w:rPr>
          <w:noProof/>
          <w:color w:val="000000"/>
        </w:rPr>
        <w:t>(7)</w:t>
      </w:r>
      <w:r w:rsidR="00440C50" w:rsidRPr="00E9486B">
        <w:rPr>
          <w:color w:val="000000"/>
        </w:rPr>
        <w:fldChar w:fldCharType="end"/>
      </w:r>
      <w:r w:rsidRPr="00E9486B">
        <w:rPr>
          <w:color w:val="000000"/>
        </w:rPr>
        <w:t xml:space="preserve">. </w:t>
      </w:r>
      <w:r w:rsidRPr="00E9486B">
        <w:t xml:space="preserve">Respon time adalah merupakan suatu standar pelayanan yang harus dimiliki oleh Instalasi Gawat Darurat di rumah sakit guna mengurangi kondisi yang tidak diinginkan seperti kematian dan kecacatan </w:t>
      </w:r>
      <w:r w:rsidR="00440C50" w:rsidRPr="00E9486B">
        <w:rPr>
          <w:rStyle w:val="FootnoteReference"/>
        </w:rPr>
        <w:fldChar w:fldCharType="begin" w:fldLock="1"/>
      </w:r>
      <w:r w:rsidR="00B52B01">
        <w:instrText>ADDIN CSL_CITATION {"citationItems":[{"id":"ITEM-1","itemData":{"abstract":"Emergency is a conditional that requires immediate handling to eliminate the threat of the patient life. All action taken in the emergency room must be truly effective and afficient, because patients will lose their lives in just minute. Response time is the time of intervention in emergency area that started from the patient coming until gets initial assesment. Triage is the process of selecting and sorting patients based on their priority level of emergency. The purpose of this study was to determine the description of response time and triage duration at emergency department Baladhika Husada Hospital Jember. Reseach methods with cross sectional approach. Selection of samples with total sampling by 21 respondents. Instrument research using observation sheets. The result showed that the average response time and triage duration for 30 days was 55,66 seconds (0,92 minutes) and 41,66 seconds (0,69 minutes). More rapid response time and triage duration will affect to the patient, the faster handling to the patient will be treated the risk of getting worse the patient’s condition will decrease. Response time and triage duration in emergency department Baladhika Husada Hospital Jember was according to standarts. Keywords:","author":[{"dropping-particle":"","family":"Istizhada","given":"Aulia Elma Nafia","non-dropping-particle":"","parse-names":false,"suffix":""}],"container-title":"Skripsi","id":"ITEM-1","issued":{"date-parts":[["2019"]]},"page":"119","title":"Gambaran Respon Time dan Lama Triage di Instalasi Gawat Darurat Rumah Sakit Baladhika Husada Jember","type":"article-journal","volume":"1"},"uris":["http://www.mendeley.com/documents/?uuid=deb31001-ab1e-45d7-b64f-f2f36ca8184f","http://www.mendeley.com/documents/?uuid=83f6da40-d66d-4467-a262-5e8a73dda6b1"]}],"mendeley":{"formattedCitation":"&lt;span style=\"baseline\"&gt;(8)&lt;/span&gt;","plainTextFormattedCitation":"(8)","previouslyFormattedCitation":"&lt;span style=\"baseline\"&gt;(8)&lt;/span&gt;"},"properties":{"noteIndex":0},"schema":"https://github.com/citation-style-language/schema/raw/master/csl-citation.json"}</w:instrText>
      </w:r>
      <w:r w:rsidR="00440C50" w:rsidRPr="00E9486B">
        <w:rPr>
          <w:rStyle w:val="FootnoteReference"/>
        </w:rPr>
        <w:fldChar w:fldCharType="separate"/>
      </w:r>
      <w:r w:rsidR="00B52B01" w:rsidRPr="00B52B01">
        <w:rPr>
          <w:noProof/>
        </w:rPr>
        <w:t>(8)</w:t>
      </w:r>
      <w:r w:rsidR="00440C50" w:rsidRPr="00E9486B">
        <w:rPr>
          <w:rStyle w:val="FootnoteReference"/>
        </w:rPr>
        <w:fldChar w:fldCharType="end"/>
      </w:r>
      <w:r w:rsidRPr="00E9486B">
        <w:t xml:space="preserve">. Menurut Hartati, </w:t>
      </w:r>
      <w:r w:rsidRPr="00E9486B">
        <w:rPr>
          <w:i/>
        </w:rPr>
        <w:t>Response time</w:t>
      </w:r>
      <w:r w:rsidRPr="00E9486B">
        <w:t xml:space="preserve"> atau ketepatan waktu yang diberikan oleh pada pasien yang datang ke IGD memerlukan standar sesuai dengan kompetensi dan kemampuannya sehingga dapat menjamin suatu penanganan gawat darurat dengan response time yang cepat dan penangananan yang tepat </w:t>
      </w:r>
      <w:r w:rsidR="00440C50" w:rsidRPr="00E9486B">
        <w:fldChar w:fldCharType="begin" w:fldLock="1"/>
      </w:r>
      <w:r w:rsidR="00B52B01">
        <w:instrText>ADDIN CSL_CITATION {"citationItems":[{"id":"ITEM-1","itemData":{"author":[{"dropping-particle":"","family":"Achmad Afandi¹, Lutfi Wahyuni²","given":"Agus Haryanto³","non-dropping-particle":"","parse-names":false,"suffix":""},{"dropping-particle":"","family":"¹","given":"","non-dropping-particle":"","parse-names":false,"suffix":""}],"container-title":"Jurnal Penelitian Keperawatan","id":"ITEM-1","issued":{"date-parts":[["2018"]]},"page":"12","title":"Hubungan Respon Time Perawat Dengan Tingkat Kecemasan Pasien Triase Kuning Di RSUD Wahidin Sudirohosodo Kota Mojekerto","type":"article-journal","volume":"3"},"uris":["http://www.mendeley.com/documents/?uuid=c0ece1cd-775e-4e12-8404-34c3277516d6","http://www.mendeley.com/documents/?uuid=807b4e8d-7136-4e68-add1-4a98e81b266a"]}],"mendeley":{"formattedCitation":"&lt;span style=\"baseline\"&gt;(9)&lt;/span&gt;","plainTextFormattedCitation":"(9)","previouslyFormattedCitation":"&lt;span style=\"baseline\"&gt;(9)&lt;/span&gt;"},"properties":{"noteIndex":0},"schema":"https://github.com/citation-style-language/schema/raw/master/csl-citation.json"}</w:instrText>
      </w:r>
      <w:r w:rsidR="00440C50" w:rsidRPr="00E9486B">
        <w:fldChar w:fldCharType="separate"/>
      </w:r>
      <w:r w:rsidR="00B52B01" w:rsidRPr="00B52B01">
        <w:rPr>
          <w:noProof/>
        </w:rPr>
        <w:t>(9)</w:t>
      </w:r>
      <w:r w:rsidR="00440C50" w:rsidRPr="00E9486B">
        <w:fldChar w:fldCharType="end"/>
      </w:r>
      <w:r w:rsidRPr="00E9486B">
        <w:t>.</w:t>
      </w:r>
    </w:p>
    <w:p w:rsidR="00E9486B" w:rsidRDefault="00E9486B" w:rsidP="00E9486B">
      <w:pPr>
        <w:ind w:right="48" w:firstLine="567"/>
        <w:jc w:val="both"/>
        <w:rPr>
          <w:color w:val="000000"/>
        </w:rPr>
      </w:pPr>
      <w:r w:rsidRPr="00E9486B">
        <w:rPr>
          <w:color w:val="000000"/>
        </w:rPr>
        <w:t xml:space="preserve">Penelitian ini didukung oleh penelitian Surtiningsih (2016) tentang penerapan response time perawat dalam pelaksanaan penentuan prioritas penanganan kegawatdaruratan pada pasien kecelakaan di IGD RSD Balung yang menunjukkan bahwa response time perawat sebagian besar penanganannya 0 menit yaitu sebanyak 18 responden (60,0%) </w:t>
      </w:r>
      <w:r w:rsidR="00440C50" w:rsidRPr="00E9486B">
        <w:rPr>
          <w:color w:val="000000"/>
        </w:rPr>
        <w:fldChar w:fldCharType="begin" w:fldLock="1"/>
      </w:r>
      <w:r w:rsidR="00B52B01">
        <w:rPr>
          <w:color w:val="000000"/>
        </w:rPr>
        <w:instrText>ADDIN CSL_CITATION {"citationItems":[{"id":"ITEM-1","itemData":{"author":[{"dropping-particle":"","family":"Dwi Surtiningsih, Cipto Susilo","given":"Mohammad Ali Hamid","non-dropping-particle":"","parse-names":false,"suffix":""}],"container-title":"The Indonesian Journal of Health Science","id":"ITEM-1","issue":"2","issued":{"date-parts":[["2016"]]},"page":"124-132","title":"Penerapan Response Time Perawat Dalam Pelaksanaan Penentuan Prioritas Penanganan Kegawatdaruratan Pada Pasien Kecelakaan Di Igd Rsd Balung","type":"article-journal","volume":"6"},"uris":["http://www.mendeley.com/documents/?uuid=fce6ef6f-8f2d-482a-b4e6-4dfaa8a31442"]}],"mendeley":{"formattedCitation":"&lt;span style=\"baseline\"&gt;(10)&lt;/span&gt;","plainTextFormattedCitation":"(10)","previouslyFormattedCitation":"&lt;span style=\"baseline\"&gt;(10)&lt;/span&gt;"},"properties":{"noteIndex":0},"schema":"https://github.com/citation-style-language/schema/raw/master/csl-citation.json"}</w:instrText>
      </w:r>
      <w:r w:rsidR="00440C50" w:rsidRPr="00E9486B">
        <w:rPr>
          <w:color w:val="000000"/>
        </w:rPr>
        <w:fldChar w:fldCharType="separate"/>
      </w:r>
      <w:r w:rsidR="00B52B01" w:rsidRPr="00B52B01">
        <w:rPr>
          <w:noProof/>
          <w:color w:val="000000"/>
        </w:rPr>
        <w:t>(10)</w:t>
      </w:r>
      <w:r w:rsidR="00440C50" w:rsidRPr="00E9486B">
        <w:rPr>
          <w:color w:val="000000"/>
        </w:rPr>
        <w:fldChar w:fldCharType="end"/>
      </w:r>
      <w:r w:rsidRPr="00E9486B">
        <w:rPr>
          <w:color w:val="000000"/>
        </w:rPr>
        <w:t xml:space="preserve">. </w:t>
      </w:r>
    </w:p>
    <w:p w:rsidR="00E9486B" w:rsidRPr="00E9486B" w:rsidRDefault="00E9486B" w:rsidP="00E9486B">
      <w:pPr>
        <w:ind w:right="48" w:firstLine="567"/>
        <w:jc w:val="both"/>
        <w:rPr>
          <w:color w:val="000000"/>
        </w:rPr>
      </w:pPr>
    </w:p>
    <w:p w:rsidR="00E9486B" w:rsidRPr="00E9486B" w:rsidRDefault="00E9486B" w:rsidP="00E9486B">
      <w:pPr>
        <w:jc w:val="both"/>
        <w:rPr>
          <w:b/>
        </w:rPr>
      </w:pPr>
      <w:r w:rsidRPr="00E9486B">
        <w:rPr>
          <w:b/>
        </w:rPr>
        <w:t>Tingkat kepercayaan keluarga pasien triase kuning</w:t>
      </w:r>
    </w:p>
    <w:p w:rsidR="00E9486B" w:rsidRPr="00E9486B" w:rsidRDefault="00E9486B" w:rsidP="00E9486B">
      <w:pPr>
        <w:ind w:right="48" w:firstLine="567"/>
        <w:jc w:val="both"/>
        <w:rPr>
          <w:sz w:val="22"/>
          <w:szCs w:val="22"/>
          <w:lang w:val="id-ID"/>
        </w:rPr>
      </w:pPr>
      <w:r w:rsidRPr="00E9486B">
        <w:lastRenderedPageBreak/>
        <w:t xml:space="preserve">Hasil penelitian menunjukkan bahwa sebagian besar responden adalah percaya kepada perawat dalam memberikan pelayanan yakni 17 orang (56.7%). Hal ini karena responden percaya bahwa perawat </w:t>
      </w:r>
      <w:r w:rsidRPr="00E9486B">
        <w:rPr>
          <w:lang w:val="en-ID"/>
        </w:rPr>
        <w:t>sigap tanggap dalam penanganan pasien, cepat, tepat dan bertanggungjawab atas tindakannya dan bisa menjaga kerahasiaan pasien. Responden juga yakin bahwa perawat penguasaan dalam menggunakan perlengkapan  dan alat kerja secara efisien  dan memberikan hasil pemeriksaan secara cepat dan tepat. Kepercayaan responden kepada perawat ini merupakan hal mendasar karena mereka meyakini bahwa tenaga prawat yang bertugas di rumah sakit khususnya IGD memiliki pengetahuan dan keterampilan serta cekat dan tepat dalam memberikan pelayanan. Responden percaya bahwa mendapat triase kuning tetap mendapatkan pelayanan yang gawat darurat dengan baik walaupun masih ada pasien lain yang lebih harus diutamakan.</w:t>
      </w:r>
    </w:p>
    <w:p w:rsidR="00E9486B" w:rsidRPr="00E9486B" w:rsidRDefault="00E9486B" w:rsidP="00E9486B">
      <w:pPr>
        <w:ind w:right="48" w:firstLine="567"/>
        <w:jc w:val="both"/>
      </w:pPr>
      <w:r w:rsidRPr="00E9486B">
        <w:t xml:space="preserve">Menurut Koehn menyatakan bahwa para profesional termasuk profesi di bidang medis dipercaya oleh pasien karena pasien percaya bahwa paramedis merupakan orang-orang yang ahli di bidangnya dan juga </w:t>
      </w:r>
      <w:r w:rsidRPr="00E9486B">
        <w:rPr>
          <w:lang w:val="en-ID"/>
        </w:rPr>
        <w:t>percaya</w:t>
      </w:r>
      <w:r w:rsidRPr="00E9486B">
        <w:t xml:space="preserve"> bahwa paramedis akan </w:t>
      </w:r>
      <w:r w:rsidRPr="00E9486B">
        <w:rPr>
          <w:lang w:val="en-ID"/>
        </w:rPr>
        <w:t>memberikan</w:t>
      </w:r>
      <w:r w:rsidRPr="00E9486B">
        <w:t xml:space="preserve"> pelayanan yang terbaik untuk pasien </w:t>
      </w:r>
      <w:r w:rsidR="00440C50" w:rsidRPr="00E9486B">
        <w:fldChar w:fldCharType="begin" w:fldLock="1"/>
      </w:r>
      <w:r w:rsidR="00B52B01">
        <w:instrText>ADDIN CSL_CITATION {"citationItems":[{"id":"ITEM-1","itemData":{"DOI":"10.35451/jkf.v2i2.356","abstract":"Rumah Sakit merupakan organisasi sosial kesehatan yang fungsi sebagai pelayanan memberikan pelayanan kepada pasien, dimana bagian utama terdepan rumah sakit adalah Instalasi Gawat Darurat (IGD) yang merupakan tempat pertama pasien di tangani berdasarkan kegawatdaruratan. Waktu tanggap dapat dihitung berdasarkan menit, namun waktu tanggap dapat dipengaruhi beberapa factor yaitu: 1) jumlah tenaga yang tersedia di IGD, 2) sarana dan prasarana, 3) pendidikan, dan factor lain yang mendukung. Dikatakan tepat waktu apabila waktu tanggap yang diperlukan dalam memberikan respon tidak melebihi waktu rata-rata atau standar yang sudah di tentukan. Penelitian ini dilaksanakan di IGD dengan jumlah sampel 30 responden, menggunakan Uji Chi-Square. desain yang digunakan adalah observasi analitik dengan pendekatan cross sectional. Teknik pengumpulan data dengan total sampling dengan menggunakan lembar kuesioner dan observasi. Hasil penelitian berdasarkan Karakteristik Responden berdasarkan umur mayoritas usia 20 – 25 tahun yaitu 66,7 %, jenis kelamin mayoritas perempuan yaitu 73,3%, pendidikan Sarjana Keperawatan 83,3%, maka dapat di simpulkan ada hubungan beban kerja perawat dengan waktu tanggap pasien di IGD dengan nilai signifikan 0,002. Dari penelitian tersebut di sarankan untukmpeneliti selanjutnya menambah subjek penelitian, teknik pengambilan sampel yang digunakan, dengan menggunakan metode yang bersifat studi kasus (case control).","author":[{"dropping-particle":"","family":"Karokaro","given":"Tati Murni","non-dropping-particle":"","parse-names":false,"suffix":""},{"dropping-particle":"","family":"Hayati","given":"Kardina","non-dropping-particle":"","parse-names":false,"suffix":""},{"dropping-particle":"","family":"Sitepu","given":"Sari Desi Esta Ulina","non-dropping-particle":"","parse-names":false,"suffix":""},{"dropping-particle":"","family":"Sitepu","given":"Abdy Lestari","non-dropping-particle":"","parse-names":false,"suffix":""}],"container-title":"Jurnal Keperawatan Dan Fisioterapi (Jkf)","id":"ITEM-1","issue":"2","issued":{"date-parts":[["2020"]]},"page":"172-180","title":"Faktor – Faktor Yang Berhubungan Dengan Waktu Tanggap (Response Time) Pasien Di Instalasi Gawat Darurat Rumah Sakit Grandmed","type":"article-journal","volume":"2"},"uris":["http://www.mendeley.com/documents/?uuid=71cb6b79-dd29-4a85-b7c1-11a3e6ecb131"]}],"mendeley":{"formattedCitation":"&lt;span style=\"baseline\"&gt;(11)&lt;/span&gt;","plainTextFormattedCitation":"(11)","previouslyFormattedCitation":"&lt;span style=\"baseline\"&gt;(11)&lt;/span&gt;"},"properties":{"noteIndex":0},"schema":"https://github.com/citation-style-language/schema/raw/master/csl-citation.json"}</w:instrText>
      </w:r>
      <w:r w:rsidR="00440C50" w:rsidRPr="00E9486B">
        <w:fldChar w:fldCharType="separate"/>
      </w:r>
      <w:r w:rsidR="00B52B01" w:rsidRPr="00B52B01">
        <w:rPr>
          <w:noProof/>
        </w:rPr>
        <w:t>(11)</w:t>
      </w:r>
      <w:r w:rsidR="00440C50" w:rsidRPr="00E9486B">
        <w:fldChar w:fldCharType="end"/>
      </w:r>
      <w:r w:rsidRPr="00E9486B">
        <w:t xml:space="preserve">. Masyarakat akan lebih percaya kepada </w:t>
      </w:r>
      <w:r w:rsidRPr="00E9486B">
        <w:rPr>
          <w:lang w:val="en-ID"/>
        </w:rPr>
        <w:t>paramedis</w:t>
      </w:r>
      <w:r w:rsidRPr="00E9486B">
        <w:t xml:space="preserve"> jika mereka mengetahui tenaga profesional </w:t>
      </w:r>
      <w:r w:rsidRPr="00E9486B">
        <w:rPr>
          <w:lang w:val="en-ID"/>
        </w:rPr>
        <w:t>bidang</w:t>
      </w:r>
      <w:r w:rsidRPr="00E9486B">
        <w:t xml:space="preserve"> medis memiliki kode etik sendiri </w:t>
      </w:r>
      <w:r w:rsidRPr="00E9486B">
        <w:rPr>
          <w:lang w:val="en-ID"/>
        </w:rPr>
        <w:t>dan</w:t>
      </w:r>
      <w:r w:rsidRPr="00E9486B">
        <w:t xml:space="preserve"> memiliki standar profesi </w:t>
      </w:r>
      <w:r w:rsidRPr="00E9486B">
        <w:rPr>
          <w:lang w:val="en-ID"/>
        </w:rPr>
        <w:t>medis</w:t>
      </w:r>
      <w:r w:rsidR="00440C50" w:rsidRPr="00E9486B">
        <w:fldChar w:fldCharType="begin" w:fldLock="1"/>
      </w:r>
      <w:r w:rsidR="00B52B01">
        <w:instrText>ADDIN CSL_CITATION {"citationItems":[{"id":"ITEM-1","itemData":{"DOI":"10.1093/bioinformatics/btn214","ISBN":"1367-4803","ISSN":"1460-2059","abstract":"Motivation: Within a homologous protein family, proteins may be grouped into subtypes that share specific functions that are not common to the entire family. Often, the amino acids present in a small number of sequence positions determine each proteins particular function-al specificity. Knowledge of these specificity determining positions (SDPs) aids in protein function prediction, drug design and experimental analysis. A number of sequence-based computational methods have been introduced for identifying SDPs; however, their further development and evaluation have been hindered by the limited number of known experimentally determined SDPs. Results: We combine several bioinformatics resources to automate a process, typically undertaken manually, to build a dataset of SDPs. The resulting large dataset, which consists of SDPs in enzymes, enables us to characterize SDPs in terms of their physicochemical and evolution-ary properties. It also facilitates the large-scale evaluation of sequence-based SDP prediction methods. We present a simple sequence-based SDP prediction method, GroupSim, and show that, surprisingly, it is competitive with a representative set of current methods. We also describe ConsWin, a heuristic that considers sequence conservation of neighboring amino acids, and demonstrate that it improves the performance of all methods tested on our large dataset of enzyme SDPs.","author":[{"dropping-particle":"","family":"Djoha","given":"Agustinus Johanes","non-dropping-particle":"","parse-names":false,"suffix":""}],"container-title":"Jurnal Penelitian Keperawatan","id":"ITEM-1","issue":"13","issued":{"date-parts":[["2008","7"]]},"page":"1473-1480","title":"Faktor-Faktor yang Mempengaruhi Kepuasan dan Kepercayaan untuk Mencapai Loyalitas Pasien Rawat Inap pada Rumah Sakit Swasta di Kota Banjarmasin JAM","type":"article-journal","volume":"24"},"uris":["http://www.mendeley.com/documents/?uuid=a60af895-988c-4684-8901-98a7440c360f","http://www.mendeley.com/documents/?uuid=0ab3903e-c6af-4a19-ab81-57d7e24038cc"]}],"mendeley":{"formattedCitation":"&lt;span style=\"baseline\"&gt;(4)&lt;/span&gt;","plainTextFormattedCitation":"(4)","previouslyFormattedCitation":"&lt;span style=\"baseline\"&gt;(4)&lt;/span&gt;"},"properties":{"noteIndex":0},"schema":"https://github.com/citation-style-language/schema/raw/master/csl-citation.json"}</w:instrText>
      </w:r>
      <w:r w:rsidR="00440C50" w:rsidRPr="00E9486B">
        <w:fldChar w:fldCharType="separate"/>
      </w:r>
      <w:r w:rsidR="00B52B01" w:rsidRPr="00B52B01">
        <w:rPr>
          <w:noProof/>
        </w:rPr>
        <w:t>(4)</w:t>
      </w:r>
      <w:r w:rsidR="00440C50" w:rsidRPr="00E9486B">
        <w:fldChar w:fldCharType="end"/>
      </w:r>
      <w:r w:rsidRPr="00E9486B">
        <w:t>.</w:t>
      </w:r>
    </w:p>
    <w:p w:rsidR="00E9486B" w:rsidRDefault="00E9486B" w:rsidP="00E9486B">
      <w:pPr>
        <w:ind w:right="48" w:firstLine="567"/>
        <w:jc w:val="both"/>
      </w:pPr>
      <w:r w:rsidRPr="00E9486B">
        <w:t xml:space="preserve">Penelitian ini didukung oleh penelitian Saho (2011) tentang kepercayaan pasien kepada perawat dalam menjalankan perawatan dengan tingkat kecemasan pasien di Bangsal Kelas 3 Rumah Sakit Umum Daerah Kota Semarang yang menunjukkan bahwa sebagian besar kepercayaan </w:t>
      </w:r>
      <w:r w:rsidRPr="00E9486B">
        <w:lastRenderedPageBreak/>
        <w:t xml:space="preserve">responden adalah tinggi yaitu 87,3% </w:t>
      </w:r>
      <w:r w:rsidR="00440C50" w:rsidRPr="00E9486B">
        <w:fldChar w:fldCharType="begin" w:fldLock="1"/>
      </w:r>
      <w:r w:rsidR="00B52B01">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approach.","author":[{"dropping-particle":"","family":"Saho","given":"Arnolus Mean","non-dropping-particle":"","parse-names":false,"suffix":""},{"dropping-particle":"","family":"Sulisna","given":"Madya","non-dropping-particle":"","parse-names":false,"suffix":""},{"dropping-particle":"","family":"Wuryanto","given":"Edy","non-dropping-particle":"","parse-names":false,"suffix":""}],"container-title":"Journal of Chemical Information and Modeling","id":"ITEM-1","issue":"1","issued":{"date-parts":[["2011"]]},"page":"30-46","title":"Kepercayaan Pasien Kepada Perawat dalam Menjalankan Perawatan dengan Tingkat Kecemasan Pasien di Bangsal Kelas 3 Rumah Sakit Umum Daerah Kota Semarang","type":"article-journal","volume":"4"},"uris":["http://www.mendeley.com/documents/?uuid=637419d6-e98a-47b8-a4d8-e1ed3df36e29"]}],"mendeley":{"formattedCitation":"&lt;span style=\"baseline\"&gt;(12)&lt;/span&gt;","plainTextFormattedCitation":"(12)","previouslyFormattedCitation":"&lt;span style=\"baseline\"&gt;(12)&lt;/span&gt;"},"properties":{"noteIndex":0},"schema":"https://github.com/citation-style-language/schema/raw/master/csl-citation.json"}</w:instrText>
      </w:r>
      <w:r w:rsidR="00440C50" w:rsidRPr="00E9486B">
        <w:fldChar w:fldCharType="separate"/>
      </w:r>
      <w:r w:rsidR="00B52B01" w:rsidRPr="00B52B01">
        <w:rPr>
          <w:noProof/>
        </w:rPr>
        <w:t>(12)</w:t>
      </w:r>
      <w:r w:rsidR="00440C50" w:rsidRPr="00E9486B">
        <w:fldChar w:fldCharType="end"/>
      </w:r>
      <w:r w:rsidRPr="00E9486B">
        <w:t xml:space="preserve">. Demikia pula penelitian Tumbuan (2017) tentang hubungan komunikasi terapeutik perawat dengan tingkat kepercayaan keluarga pasien di Intensive Care Unit (Icu) Rsu Gmim Kalooran Amurang yang menunjukkan bahwa ditemukan tingkat kepercayaan keluarga pasien dengan percaya sebanyak 23 orang (52.3%) </w:t>
      </w:r>
      <w:r w:rsidR="00440C50" w:rsidRPr="00E9486B">
        <w:fldChar w:fldCharType="begin" w:fldLock="1"/>
      </w:r>
      <w:r w:rsidR="00B52B01">
        <w:instrText>ADDIN CSL_CITATION {"citationItems":[{"id":"ITEM-1","itemData":{"ISSN":"2302-1349","abstract":"Intensive Care Unit (ICU) is hospital ward with staff and specialited equipment inlended to anage patients with trauma or life threatening complications at any time due to failure or dysfunction of the organ or systemthat is still a possibility curable back through intensive care unit and treatment. The purpose of this study aimed to the relationship between therapeutic communication nurse with a confidence level of the patients’s family in the Intensive Care Unit at GMIM Kalooran Amurang hospital. The design uses the approach of cross sectional. Sampling techniques using a purposive sampling, with the sample in this research is a 44 person test result statistics Chi-Square test with a confidence level of 95% (α = 0.05) and the obtained p value (α = 0.05 &lt; 0037). These results indicate there are Therapeutic Communication relationship relationships the nurse with the patient's family trust level in the Intensive Care Unit (ICU) RSU GMIM Amurang Kalooran","author":[{"dropping-particle":"","family":"Tumbuan","given":"F.","non-dropping-particle":"","parse-names":false,"suffix":""},{"dropping-particle":"","family":"Mulyadi","given":"N.","non-dropping-particle":"","parse-names":false,"suffix":""},{"dropping-particle":"","family":"Kallo","given":"V.","non-dropping-particle":"","parse-names":false,"suffix":""}],"container-title":"Jurnal Keperawatan UNSRAT","id":"ITEM-1","issue":"1","issued":{"date-parts":[["2017"]]},"page":"112381","title":"Hubungan Komunikasi Terapeutik Perawat Dengan Tingkat Kepercayaan Keluarga Pasien Di Intensive Care Unit (Icu) Rsu Gmim Kalooran Amurang","type":"article-journal","volume":"5"},"uris":["http://www.mendeley.com/documents/?uuid=122b749a-5512-4548-9eaf-79ff29f8274a"]}],"mendeley":{"formattedCitation":"&lt;span style=\"baseline\"&gt;(13)&lt;/span&gt;","plainTextFormattedCitation":"(13)","previouslyFormattedCitation":"&lt;span style=\"baseline\"&gt;(13)&lt;/span&gt;"},"properties":{"noteIndex":0},"schema":"https://github.com/citation-style-language/schema/raw/master/csl-citation.json"}</w:instrText>
      </w:r>
      <w:r w:rsidR="00440C50" w:rsidRPr="00E9486B">
        <w:fldChar w:fldCharType="separate"/>
      </w:r>
      <w:r w:rsidR="00B52B01" w:rsidRPr="00B52B01">
        <w:rPr>
          <w:noProof/>
        </w:rPr>
        <w:t>(13)</w:t>
      </w:r>
      <w:r w:rsidR="00440C50" w:rsidRPr="00E9486B">
        <w:fldChar w:fldCharType="end"/>
      </w:r>
      <w:r w:rsidRPr="00E9486B">
        <w:t>.</w:t>
      </w:r>
    </w:p>
    <w:p w:rsidR="00E9486B" w:rsidRDefault="00E9486B" w:rsidP="00E9486B">
      <w:pPr>
        <w:ind w:right="48" w:firstLine="567"/>
        <w:jc w:val="both"/>
      </w:pPr>
    </w:p>
    <w:p w:rsidR="00E9486B" w:rsidRPr="00B52B01" w:rsidRDefault="00E9486B" w:rsidP="00B52B01">
      <w:pPr>
        <w:jc w:val="both"/>
        <w:rPr>
          <w:b/>
        </w:rPr>
      </w:pPr>
      <w:r w:rsidRPr="00B52B01">
        <w:rPr>
          <w:b/>
        </w:rPr>
        <w:t xml:space="preserve">Hubungan respon time perawat dengan tingkat kepercayaan keluarga pasien triase kuning </w:t>
      </w:r>
    </w:p>
    <w:p w:rsidR="00E9486B" w:rsidRPr="00E9486B" w:rsidRDefault="00E9486B" w:rsidP="00E9486B">
      <w:pPr>
        <w:ind w:right="48" w:firstLine="567"/>
        <w:jc w:val="both"/>
        <w:rPr>
          <w:szCs w:val="32"/>
        </w:rPr>
      </w:pPr>
      <w:r w:rsidRPr="00E9486B">
        <w:rPr>
          <w:szCs w:val="32"/>
        </w:rPr>
        <w:t xml:space="preserve">Berdasarkan analisis uji analisis </w:t>
      </w:r>
      <w:r w:rsidRPr="00E9486B">
        <w:rPr>
          <w:i/>
          <w:szCs w:val="32"/>
        </w:rPr>
        <w:t>chi square</w:t>
      </w:r>
      <w:r w:rsidRPr="00E9486B">
        <w:rPr>
          <w:szCs w:val="32"/>
        </w:rPr>
        <w:t xml:space="preserve"> dengan tingkat </w:t>
      </w:r>
      <w:r w:rsidRPr="00E9486B">
        <w:t>kemaknaan</w:t>
      </w:r>
      <w:r w:rsidRPr="00E9486B">
        <w:rPr>
          <w:szCs w:val="32"/>
        </w:rPr>
        <w:t xml:space="preserve"> 95% disimpulkana bahwa hubungan cukup kuat. Sehingga dapat disimpulkan bahwa </w:t>
      </w:r>
      <w:r w:rsidRPr="00E9486B">
        <w:t>hubungan antara respon time perawat dengan tingkat kepercayaan keluarga pasien triase kuning</w:t>
      </w:r>
      <w:r w:rsidRPr="00E9486B">
        <w:rPr>
          <w:szCs w:val="32"/>
        </w:rPr>
        <w:t xml:space="preserve"> dengan nilai </w:t>
      </w:r>
      <w:r w:rsidRPr="00E9486B">
        <w:rPr>
          <w:i/>
          <w:szCs w:val="32"/>
        </w:rPr>
        <w:t>pvalue</w:t>
      </w:r>
      <w:r w:rsidRPr="00E9486B">
        <w:rPr>
          <w:szCs w:val="32"/>
        </w:rPr>
        <w:t xml:space="preserve"> = 0.004. Adanya hubungan antara respon time dengan kepercayaan keluarga pasien dikarenakan sebagian besar respon time perawat cepat dan keluarga percaya dengan kemampuan perawat dalam memberikan pelayanan gawat darurat di IGD. Responden mempercayai dan membutuhkan perawat dalam </w:t>
      </w:r>
      <w:r w:rsidRPr="00E9486B">
        <w:t>menangani</w:t>
      </w:r>
      <w:r w:rsidRPr="00E9486B">
        <w:rPr>
          <w:szCs w:val="32"/>
        </w:rPr>
        <w:t xml:space="preserve"> penyakit yang dideritanya.</w:t>
      </w:r>
    </w:p>
    <w:p w:rsidR="00E9486B" w:rsidRPr="00E9486B" w:rsidRDefault="00E9486B" w:rsidP="00E9486B">
      <w:pPr>
        <w:ind w:right="48" w:firstLine="567"/>
        <w:jc w:val="both"/>
        <w:rPr>
          <w:szCs w:val="32"/>
        </w:rPr>
      </w:pPr>
      <w:r w:rsidRPr="00E9486B">
        <w:rPr>
          <w:szCs w:val="32"/>
        </w:rPr>
        <w:t xml:space="preserve">Dalam dunia medis triage adalah proses pengambilan keputusan yang kompleks dalam rangka menentukan pasien mana yang berisiko meninggal, berisiko mengalami kecacatan, atau berisiko memburuk keadaan klinisnya apabila tidak mendapatkan penanganan medis segera, dan pasien mana yang dapat dengan aman menunggu. Berdasarkan definisi ini, proses triage diharapkan mampu menentukan kondisi pasien yang memang gawat darurat, dan kondisi yang berisiko gawat darurat </w:t>
      </w:r>
      <w:r w:rsidR="00440C50" w:rsidRPr="00E9486B">
        <w:rPr>
          <w:szCs w:val="32"/>
        </w:rPr>
        <w:fldChar w:fldCharType="begin" w:fldLock="1"/>
      </w:r>
      <w:r w:rsidR="00B52B01">
        <w:rPr>
          <w:szCs w:val="32"/>
        </w:rPr>
        <w:instrText>ADDIN CSL_CITATION {"citationItems":[{"id":"ITEM-1","itemData":{"DOI":"10.1016/j.sbspro.2015.04.758","ISBN":"1116014000000","ISSN":"2503-2518","PMID":"25246403","author":[{"dropping-particle":"","family":"Ringu","given":"Yumiati Tuwa","non-dropping-particle":"","parse-names":false,"suffix":""}],"id":"ITEM-1","issued":{"date-parts":[["2017"]]},"publisher":"Universitas Airlangga","title":"Analisis Faktor yang Berhubungan dengan Response Time Perawat di IGD RSU Tipe C di Kupang Berdasarkan Teori Kinerja Gibson","type":"thesis"},"uris":["http://www.mendeley.com/documents/?uuid=1388739a-2c5a-430b-b304-345f79c561b2"]}],"mendeley":{"formattedCitation":"&lt;span style=\"baseline\"&gt;(14)&lt;/span&gt;","plainTextFormattedCitation":"(14)","previouslyFormattedCitation":"&lt;span style=\"baseline\"&gt;(14)&lt;/span&gt;"},"properties":{"noteIndex":0},"schema":"https://github.com/citation-style-language/schema/raw/master/csl-citation.json"}</w:instrText>
      </w:r>
      <w:r w:rsidR="00440C50" w:rsidRPr="00E9486B">
        <w:rPr>
          <w:szCs w:val="32"/>
        </w:rPr>
        <w:fldChar w:fldCharType="separate"/>
      </w:r>
      <w:r w:rsidR="00B52B01" w:rsidRPr="00B52B01">
        <w:rPr>
          <w:noProof/>
          <w:szCs w:val="32"/>
        </w:rPr>
        <w:t>(14)</w:t>
      </w:r>
      <w:r w:rsidR="00440C50" w:rsidRPr="00E9486B">
        <w:rPr>
          <w:szCs w:val="32"/>
        </w:rPr>
        <w:fldChar w:fldCharType="end"/>
      </w:r>
      <w:r w:rsidRPr="00E9486B">
        <w:rPr>
          <w:szCs w:val="32"/>
        </w:rPr>
        <w:t>.</w:t>
      </w:r>
    </w:p>
    <w:p w:rsidR="00E9486B" w:rsidRPr="00E9486B" w:rsidRDefault="00E9486B" w:rsidP="00E9486B">
      <w:pPr>
        <w:ind w:right="48" w:firstLine="567"/>
        <w:jc w:val="both"/>
        <w:rPr>
          <w:szCs w:val="32"/>
        </w:rPr>
      </w:pPr>
      <w:r w:rsidRPr="00E9486B">
        <w:rPr>
          <w:szCs w:val="32"/>
        </w:rPr>
        <w:t xml:space="preserve">Kepercayaan adalah aspek yang dibentuk dalam kognitif dan dengan adanya kepercayaan, seorang individu </w:t>
      </w:r>
      <w:r w:rsidRPr="00E9486B">
        <w:rPr>
          <w:szCs w:val="32"/>
        </w:rPr>
        <w:lastRenderedPageBreak/>
        <w:t xml:space="preserve">akan bersedia mengambil resiko yang mungkin terjadi dalam hubungannya dengan pihak lain </w:t>
      </w:r>
      <w:r w:rsidR="00440C50" w:rsidRPr="00E9486B">
        <w:rPr>
          <w:szCs w:val="32"/>
        </w:rPr>
        <w:fldChar w:fldCharType="begin" w:fldLock="1"/>
      </w:r>
      <w:r w:rsidR="00B52B01">
        <w:rPr>
          <w:szCs w:val="32"/>
        </w:rPr>
        <w:instrText>ADDIN CSL_CITATION {"citationItems":[{"id":"ITEM-1","itemData":{"abstract":"The aim of this paper is to apply the cellular automata approach to the description of deformations of an elastic body and the frictionless contact between the body and a rigid foundation. The model is based on a microscopic approach and can be easily implemented. A numerical algorithm is constructed and simulation results are presented, illustrating the properties of the model and the behavior of its solutions.","author":[{"dropping-particle":"","family":"Azrul","given":"Azwar","non-dropping-particle":"","parse-names":false,"suffix":""}],"container-title":"Jakarta: Binarupa Aksara","id":"ITEM-1","issued":{"date-parts":[["2010"]]},"number-of-pages":"123-142","title":"Pengantar Administrasi Kesehatan","type":"book"},"uris":["http://www.mendeley.com/documents/?uuid=c9544eb3-4477-474d-847f-09e714471474"]}],"mendeley":{"formattedCitation":"&lt;span style=\"baseline\"&gt;(15)&lt;/span&gt;","plainTextFormattedCitation":"(15)","previouslyFormattedCitation":"&lt;span style=\"baseline\"&gt;(15)&lt;/span&gt;"},"properties":{"noteIndex":0},"schema":"https://github.com/citation-style-language/schema/raw/master/csl-citation.json"}</w:instrText>
      </w:r>
      <w:r w:rsidR="00440C50" w:rsidRPr="00E9486B">
        <w:rPr>
          <w:szCs w:val="32"/>
        </w:rPr>
        <w:fldChar w:fldCharType="separate"/>
      </w:r>
      <w:r w:rsidR="00B52B01" w:rsidRPr="00B52B01">
        <w:rPr>
          <w:noProof/>
          <w:szCs w:val="32"/>
        </w:rPr>
        <w:t>(15)</w:t>
      </w:r>
      <w:r w:rsidR="00440C50" w:rsidRPr="00E9486B">
        <w:rPr>
          <w:szCs w:val="32"/>
        </w:rPr>
        <w:fldChar w:fldCharType="end"/>
      </w:r>
      <w:r w:rsidRPr="00E9486B">
        <w:rPr>
          <w:szCs w:val="32"/>
        </w:rPr>
        <w:t xml:space="preserve">. Ketergantungan pada pihak lain selalu terlibat dengan tingkat kepercayaan. </w:t>
      </w:r>
      <w:r w:rsidR="00440C50" w:rsidRPr="00E9486B">
        <w:rPr>
          <w:szCs w:val="32"/>
        </w:rPr>
        <w:fldChar w:fldCharType="begin" w:fldLock="1"/>
      </w:r>
      <w:r w:rsidR="008E64B9">
        <w:rPr>
          <w:szCs w:val="32"/>
        </w:rPr>
        <w:instrText>ADDIN CSL_CITATION {"citationItems":[{"id":"ITEM-1","itemData":{"ISBN":"9789797345273","author":[{"dropping-particle":"","family":"Maryati","given":"K","non-dropping-particle":"","parse-names":false,"suffix":""}],"id":"ITEM-1","issued":{"date-parts":[["2007"]]},"publisher":"Esis","publisher-place":"Jakarta","title":"Sosiologi : Jilid 1","type":"book"},"uris":["http://www.mendeley.com/documents/?uuid=c65fb018-86d6-4ebf-820b-aa9f060b6968"]}],"mendeley":{"formattedCitation":"&lt;span style=\"baseline\"&gt;(16)&lt;/span&gt;","plainTextFormattedCitation":"(16)","previouslyFormattedCitation":"&lt;span style=\"baseline\"&gt;(16)&lt;/span&gt;"},"properties":{"noteIndex":0},"schema":"https://github.com/citation-style-language/schema/raw/master/csl-citation.json"}</w:instrText>
      </w:r>
      <w:r w:rsidR="00440C50" w:rsidRPr="00E9486B">
        <w:rPr>
          <w:szCs w:val="32"/>
        </w:rPr>
        <w:fldChar w:fldCharType="separate"/>
      </w:r>
      <w:r w:rsidR="00B52B01" w:rsidRPr="00B52B01">
        <w:rPr>
          <w:noProof/>
          <w:szCs w:val="32"/>
        </w:rPr>
        <w:t>(16)</w:t>
      </w:r>
      <w:r w:rsidR="00440C50" w:rsidRPr="00E9486B">
        <w:rPr>
          <w:szCs w:val="32"/>
        </w:rPr>
        <w:fldChar w:fldCharType="end"/>
      </w:r>
      <w:r w:rsidRPr="00E9486B">
        <w:rPr>
          <w:szCs w:val="32"/>
        </w:rPr>
        <w:t xml:space="preserve">. Kepercayaan lebih mudah untuk tumbuh diantara orang – orang yang memiliki kepentingan dan tujuan yang sama, sehingga lebih mudah untuk mengubah kepercayaan individu dari pada mengubah </w:t>
      </w:r>
      <w:r w:rsidRPr="00E9486B">
        <w:t>kepercayaan</w:t>
      </w:r>
      <w:r w:rsidRPr="00E9486B">
        <w:rPr>
          <w:szCs w:val="32"/>
        </w:rPr>
        <w:t xml:space="preserve"> suatu kelompok </w:t>
      </w:r>
      <w:r w:rsidR="00440C50" w:rsidRPr="00E9486B">
        <w:rPr>
          <w:szCs w:val="32"/>
        </w:rPr>
        <w:fldChar w:fldCharType="begin" w:fldLock="1"/>
      </w:r>
      <w:r w:rsidR="00B52B01">
        <w:rPr>
          <w:szCs w:val="32"/>
        </w:rPr>
        <w:instrText>ADDIN CSL_CITATION {"citationItems":[{"id":"ITEM-1","itemData":{"abstract":"istilah yang dipaparkan oleh beberapa ahli, di antaranya oleh Ahmad Fauzi yang mengemukakan belajar adalah “Suatu proses di mana suatu tingkah laku ditimbulkan atau diperbaiki melalui serentetan reaksi atas situasi (atau rangsang) yang terjadi","author":[{"dropping-particle":"","family":"Sarwono","given":"Sarlito W","non-dropping-particle":"","parse-names":false,"suffix":""}],"id":"ITEM-1","issue":"13","issued":{"date-parts":[["2012"]]},"number-of-pages":"1-48","publisher":"Rineka Cipta","publisher-place":"Jakarta","title":"Psikologi Umum","type":"book"},"uris":["http://www.mendeley.com/documents/?uuid=9f6339c4-5c64-4f2f-836e-f6d1116e41cc"]}],"mendeley":{"formattedCitation":"&lt;span style=\"baseline\"&gt;(17)&lt;/span&gt;","plainTextFormattedCitation":"(17)","previouslyFormattedCitation":"&lt;span style=\"baseline\"&gt;(17)&lt;/span&gt;"},"properties":{"noteIndex":0},"schema":"https://github.com/citation-style-language/schema/raw/master/csl-citation.json"}</w:instrText>
      </w:r>
      <w:r w:rsidR="00440C50" w:rsidRPr="00E9486B">
        <w:rPr>
          <w:szCs w:val="32"/>
        </w:rPr>
        <w:fldChar w:fldCharType="separate"/>
      </w:r>
      <w:r w:rsidR="00B52B01" w:rsidRPr="00B52B01">
        <w:rPr>
          <w:noProof/>
          <w:szCs w:val="32"/>
        </w:rPr>
        <w:t>(17)</w:t>
      </w:r>
      <w:r w:rsidR="00440C50" w:rsidRPr="00E9486B">
        <w:rPr>
          <w:szCs w:val="32"/>
        </w:rPr>
        <w:fldChar w:fldCharType="end"/>
      </w:r>
      <w:r w:rsidRPr="00E9486B">
        <w:rPr>
          <w:szCs w:val="32"/>
        </w:rPr>
        <w:t xml:space="preserve">. </w:t>
      </w:r>
    </w:p>
    <w:p w:rsidR="008E64B9" w:rsidRPr="008E64B9" w:rsidRDefault="008E64B9" w:rsidP="008E64B9">
      <w:pPr>
        <w:ind w:right="48" w:firstLine="567"/>
        <w:jc w:val="both"/>
      </w:pPr>
      <w:r w:rsidRPr="008E64B9">
        <w:t xml:space="preserve">Penelitian ini didukung oleh penelitian Kusumawinahyu (2016) yang menunjukkan terdapat ada hubungan </w:t>
      </w:r>
      <w:r w:rsidRPr="008E64B9">
        <w:rPr>
          <w:i/>
        </w:rPr>
        <w:t>response time</w:t>
      </w:r>
      <w:r w:rsidRPr="008E64B9">
        <w:t xml:space="preserve"> pelayanan Instalasi Gawat Darurat (IGD) terhadap tingkat kepuasan pasien pada triage merah dan kuning </w:t>
      </w:r>
      <w:r w:rsidR="00440C50" w:rsidRPr="008E64B9">
        <w:fldChar w:fldCharType="begin" w:fldLock="1"/>
      </w:r>
      <w:r>
        <w:instrText>ADDIN CSL_CITATION {"citationItems":[{"id":"ITEM-1","itemData":{"author":[{"dropping-particle":"","family":"Kusumawinahyu","given":"Dhaniar Shinta","non-dropping-particle":"","parse-names":false,"suffix":""}],"id":"ITEM-1","issued":{"date-parts":[["2016"]]},"publisher":"Universitas Muhammadiyah Surakarta","title":"Hubungan Response Time Pelayanan Instalasi Gawat Darurat (IGD) dengan Tingkat Kepuasan Pasien di Rumah Sakit Islam Surakarta","type":"thesis"},"uris":["http://www.mendeley.com/documents/?uuid=95536edc-cdf2-45a3-965e-481c26de462a"]}],"mendeley":{"formattedCitation":"&lt;span style=\"baseline\"&gt;(18)&lt;/span&gt;","plainTextFormattedCitation":"(18)","previouslyFormattedCitation":"(40)"},"properties":{"noteIndex":0},"schema":"https://github.com/citation-style-language/schema/raw/master/csl-citation.json"}</w:instrText>
      </w:r>
      <w:r w:rsidR="00440C50" w:rsidRPr="008E64B9">
        <w:fldChar w:fldCharType="separate"/>
      </w:r>
      <w:r w:rsidRPr="008E64B9">
        <w:rPr>
          <w:noProof/>
        </w:rPr>
        <w:t>(18)</w:t>
      </w:r>
      <w:r w:rsidR="00440C50" w:rsidRPr="008E64B9">
        <w:fldChar w:fldCharType="end"/>
      </w:r>
      <w:r w:rsidRPr="008E64B9">
        <w:t xml:space="preserve">. Demikian pula penelitian Surtiningsih (2016) yang </w:t>
      </w:r>
      <w:r w:rsidRPr="008E64B9">
        <w:rPr>
          <w:szCs w:val="32"/>
        </w:rPr>
        <w:t>menunjukkan</w:t>
      </w:r>
      <w:r w:rsidRPr="008E64B9">
        <w:t xml:space="preserve"> bahwa terdapat keterkaitan penerapan response time perawat dalam pelaksanaan penentuan prioritas penanganan kegawatdaruratan pada pasien kecelakaan di IGD RSD Balung </w:t>
      </w:r>
      <w:r w:rsidR="00440C50" w:rsidRPr="008E64B9">
        <w:fldChar w:fldCharType="begin" w:fldLock="1"/>
      </w:r>
      <w:r>
        <w:instrText>ADDIN CSL_CITATION {"citationItems":[{"id":"ITEM-1","itemData":{"DOI":"http://dx.doi.org/10.32528/the.v6i2.131","abstract":"The philosophy emergency care that it's Live Saving Time Saving for all actions performed during emergency conditions must be really effective and efficient and the response time is calculated from the emergency care of patients come to do treatment. The condition is reminiscent of the patients losing their lives in the next three defects even very short. The purpose of this study was to identify application response time nurse in the prioritization of handling emergency accident patients in Emergency Department of Balung General Hospital. This was non-experimental research with cross sectional design. The sampling method using purposive sampling, with a population of 32 respondents in order to obtain a sample of 30 respondents. The research instrument used was the observation sheets and questionnaires. This study  showed that was application response time nurse in the implementation of the prioritization of handling emergency accidents in patients with Spearman Rho significance level α = (0.001). The response time nurse in prioritization of handling emergency accident patients should be improved in order to achieve the quality of service quality to patients and families of patients who receive services.          Keyword:      Response time, prioritization of treatment, patient accidents","author":[{"dropping-particle":"","family":"Surtiningsih","given":"Dwi","non-dropping-particle":"","parse-names":false,"suffix":""},{"dropping-particle":"","family":"Cipto","given":"Susilo","non-dropping-particle":"","parse-names":false,"suffix":""},{"dropping-particle":"","family":"Hamid","given":"Mohammad Ali","non-dropping-particle":"","parse-names":false,"suffix":""}],"container-title":"the Indonesian Journal of Health Science","id":"ITEM-1","issue":"2","issued":{"date-parts":[["2016"]]},"page":"124-132","title":"Penerapan Response Time Perawat Dalam Pelaksanaan Penentuan Prioritas Penanganan Kegawatdaruratan Pada Pasien Kecelakaan Di Igd Rsd Balung","type":"article-journal","volume":"6"},"uris":["http://www.mendeley.com/documents/?uuid=7c43e57d-f8a8-4ff0-a1a5-142b2dc40cc1"]}],"mendeley":{"formattedCitation":"&lt;span style=\"baseline\"&gt;(19)&lt;/span&gt;","plainTextFormattedCitation":"(19)","previouslyFormattedCitation":"(27)"},"properties":{"noteIndex":0},"schema":"https://github.com/citation-style-language/schema/raw/master/csl-citation.json"}</w:instrText>
      </w:r>
      <w:r w:rsidR="00440C50" w:rsidRPr="008E64B9">
        <w:fldChar w:fldCharType="separate"/>
      </w:r>
      <w:r w:rsidRPr="008E64B9">
        <w:rPr>
          <w:noProof/>
        </w:rPr>
        <w:t>(19)</w:t>
      </w:r>
      <w:r w:rsidR="00440C50" w:rsidRPr="008E64B9">
        <w:fldChar w:fldCharType="end"/>
      </w:r>
      <w:r w:rsidRPr="008E64B9">
        <w:t>.</w:t>
      </w:r>
    </w:p>
    <w:p w:rsidR="00E9486B" w:rsidRPr="00E9486B" w:rsidRDefault="00E9486B" w:rsidP="00E9486B">
      <w:pPr>
        <w:ind w:right="48" w:firstLine="567"/>
        <w:jc w:val="both"/>
        <w:rPr>
          <w:szCs w:val="32"/>
        </w:rPr>
      </w:pPr>
    </w:p>
    <w:p w:rsidR="00D461C1" w:rsidRPr="00E9486B" w:rsidRDefault="00D461C1" w:rsidP="00D461C1">
      <w:pPr>
        <w:ind w:right="55"/>
        <w:rPr>
          <w:rFonts w:eastAsia="Arial Unicode MS"/>
          <w:b/>
          <w:lang w:val="id-ID"/>
        </w:rPr>
      </w:pPr>
      <w:r w:rsidRPr="00E9486B">
        <w:rPr>
          <w:rFonts w:eastAsia="Arial Unicode MS"/>
          <w:b/>
          <w:lang w:val="id-ID"/>
        </w:rPr>
        <w:t>Simpulan Dan Saran</w:t>
      </w:r>
    </w:p>
    <w:p w:rsidR="00B52B01" w:rsidRPr="00B52B01" w:rsidRDefault="00D461C1" w:rsidP="00B52B01">
      <w:pPr>
        <w:ind w:right="48" w:firstLine="567"/>
        <w:jc w:val="both"/>
      </w:pPr>
      <w:r w:rsidRPr="00B52B01">
        <w:t xml:space="preserve">Simpulan penelitian in adalah </w:t>
      </w:r>
      <w:r w:rsidR="00B52B01" w:rsidRPr="00B52B01">
        <w:t xml:space="preserve">sebagian besar </w:t>
      </w:r>
      <w:r w:rsidR="00B52B01" w:rsidRPr="00B52B01">
        <w:rPr>
          <w:i/>
        </w:rPr>
        <w:t>respon time</w:t>
      </w:r>
      <w:r w:rsidR="00B52B01" w:rsidRPr="00B52B01">
        <w:t xml:space="preserve"> kategori cepat yakni sebanyak </w:t>
      </w:r>
      <w:r w:rsidR="00B52B01" w:rsidRPr="00B52B01">
        <w:rPr>
          <w:color w:val="000000"/>
        </w:rPr>
        <w:t>18 orang (60.0%).</w:t>
      </w:r>
      <w:r w:rsidR="00B52B01" w:rsidRPr="00B52B01">
        <w:t xml:space="preserve"> sebagian besar responden adalah percaya kepada perawat dalam memberikan pelayanan yakni 17 </w:t>
      </w:r>
      <w:r w:rsidR="00246B73">
        <w:t xml:space="preserve">orang (56.7%) dan ada hubungan </w:t>
      </w:r>
      <w:r w:rsidR="00B52B01" w:rsidRPr="00B52B01">
        <w:t>antara respon time perawat dengan tingkat kepercayaan keluarga pasien triase kuning</w:t>
      </w:r>
      <w:r w:rsidR="00B52B01" w:rsidRPr="00B52B01">
        <w:rPr>
          <w:szCs w:val="32"/>
        </w:rPr>
        <w:t xml:space="preserve">dengan nilai </w:t>
      </w:r>
      <w:r w:rsidR="00B52B01" w:rsidRPr="00B52B01">
        <w:rPr>
          <w:i/>
          <w:szCs w:val="32"/>
        </w:rPr>
        <w:t>pvalue</w:t>
      </w:r>
      <w:r w:rsidR="00B52B01" w:rsidRPr="00B52B01">
        <w:rPr>
          <w:szCs w:val="32"/>
        </w:rPr>
        <w:t xml:space="preserve"> = 0.004. Peneliti menyarankan agar membuat </w:t>
      </w:r>
      <w:r w:rsidR="00B52B01" w:rsidRPr="00B52B01">
        <w:t xml:space="preserve">ebijakan dalam untuk meningkatkan kepercayaan pasien dan keluarga </w:t>
      </w:r>
      <w:r w:rsidR="00B52B01" w:rsidRPr="00B52B01">
        <w:rPr>
          <w:lang w:val="en-ID"/>
        </w:rPr>
        <w:t>terhadap pelayanan rumah sakit</w:t>
      </w:r>
    </w:p>
    <w:p w:rsidR="00B52B01" w:rsidRDefault="00B52B01" w:rsidP="00345538">
      <w:pPr>
        <w:ind w:right="48" w:firstLine="567"/>
        <w:jc w:val="both"/>
      </w:pPr>
    </w:p>
    <w:p w:rsidR="00D461C1" w:rsidRPr="00E9486B" w:rsidRDefault="00D461C1" w:rsidP="00D461C1">
      <w:pPr>
        <w:ind w:right="55"/>
        <w:rPr>
          <w:rFonts w:eastAsia="Arial Unicode MS"/>
          <w:b/>
          <w:lang w:val="id-ID"/>
        </w:rPr>
      </w:pPr>
      <w:r w:rsidRPr="00E9486B">
        <w:rPr>
          <w:rFonts w:eastAsia="Arial Unicode MS"/>
          <w:b/>
          <w:lang w:val="id-ID"/>
        </w:rPr>
        <w:t>Daftar Rujukan</w:t>
      </w:r>
    </w:p>
    <w:p w:rsidR="008E64B9" w:rsidRPr="008E64B9" w:rsidRDefault="00440C50" w:rsidP="008E64B9">
      <w:pPr>
        <w:widowControl w:val="0"/>
        <w:autoSpaceDE w:val="0"/>
        <w:autoSpaceDN w:val="0"/>
        <w:adjustRightInd w:val="0"/>
        <w:ind w:left="426" w:hanging="426"/>
        <w:jc w:val="both"/>
        <w:rPr>
          <w:noProof/>
        </w:rPr>
      </w:pPr>
      <w:r>
        <w:rPr>
          <w:rFonts w:eastAsia="Arial Unicode MS"/>
          <w:b/>
          <w:lang w:val="id-ID"/>
        </w:rPr>
        <w:fldChar w:fldCharType="begin" w:fldLock="1"/>
      </w:r>
      <w:r w:rsidR="008E64B9">
        <w:rPr>
          <w:rFonts w:eastAsia="Arial Unicode MS"/>
          <w:b/>
          <w:lang w:val="id-ID"/>
        </w:rPr>
        <w:instrText xml:space="preserve">ADDIN Mendeley Bibliography CSL_BIBLIOGRAPHY </w:instrText>
      </w:r>
      <w:r>
        <w:rPr>
          <w:rFonts w:eastAsia="Arial Unicode MS"/>
          <w:b/>
          <w:lang w:val="id-ID"/>
        </w:rPr>
        <w:fldChar w:fldCharType="separate"/>
      </w:r>
      <w:r w:rsidR="008E64B9" w:rsidRPr="008E64B9">
        <w:rPr>
          <w:noProof/>
        </w:rPr>
        <w:t xml:space="preserve">1. </w:t>
      </w:r>
      <w:r w:rsidR="008E64B9" w:rsidRPr="008E64B9">
        <w:rPr>
          <w:noProof/>
        </w:rPr>
        <w:tab/>
        <w:t xml:space="preserve">Sinurat S, Perangin-angin IH, Sepuh JCL. Hubungan Response Time Perawat Dengan Tingkat Kepuasan Pasien Bpjs Di Instalasi </w:t>
      </w:r>
      <w:r w:rsidR="008E64B9" w:rsidRPr="008E64B9">
        <w:rPr>
          <w:noProof/>
        </w:rPr>
        <w:lastRenderedPageBreak/>
        <w:t xml:space="preserve">Gawat Darurat. J Penelit Keperawatan. 2019;5(1).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2. </w:t>
      </w:r>
      <w:r w:rsidRPr="008E64B9">
        <w:rPr>
          <w:noProof/>
        </w:rPr>
        <w:tab/>
        <w:t xml:space="preserve">Rembet MA. Hubungan Respon Time Perawat Dengan Tingkat Kepercayaan Keluarga Pasien Pada Triase Kuning (Urgent) Di Instalasi Gawat Darurat RSU GMIM Kalooran Amurang. J Penelit Keperawatan. 2015;3(September):1–8.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3. </w:t>
      </w:r>
      <w:r w:rsidRPr="008E64B9">
        <w:rPr>
          <w:noProof/>
        </w:rPr>
        <w:tab/>
        <w:t xml:space="preserve">Septiana Dian Pratiwi1, Nabhani2 NSM. Hubungan Respon Time Dengan Triase dan Penatalaksanaan Pasien Instalasi Gawat Darurat. J Penelit Keperawatan. 2017;05:12.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4. </w:t>
      </w:r>
      <w:r w:rsidRPr="008E64B9">
        <w:rPr>
          <w:noProof/>
        </w:rPr>
        <w:tab/>
        <w:t xml:space="preserve">Djoha AJ. Faktor-Faktor yang Mempengaruhi Kepuasan dan Kepercayaan untuk Mencapai Loyalitas Pasien Rawat Inap pada Rumah Sakit Swasta di Kota Banjarmasin JAM. J Penelit Keperawatan. 2008 Jul;24(13):1473–80.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5. </w:t>
      </w:r>
      <w:r w:rsidRPr="008E64B9">
        <w:rPr>
          <w:noProof/>
        </w:rPr>
        <w:tab/>
        <w:t xml:space="preserve">Rusandy DS. Pengaruh Kualitas Pelayanan Dan Kepercayaan Terhadap Kepuasan Pasien Rawat Inap. Skripsi. 2010;3(45):39.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6. </w:t>
      </w:r>
      <w:r w:rsidRPr="008E64B9">
        <w:rPr>
          <w:noProof/>
        </w:rPr>
        <w:tab/>
        <w:t xml:space="preserve">Paula Krisanty, Santa manurung, Saratun, Wartonah, Mamah Sumartini, Ermawati, Rohimah SS. Asuhan Keperawatan Gawat Darurat. Jakarta: Trans Info Media; 2009. 1–382 p.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7. </w:t>
      </w:r>
      <w:r w:rsidRPr="008E64B9">
        <w:rPr>
          <w:noProof/>
        </w:rPr>
        <w:tab/>
        <w:t xml:space="preserve">Istizhada AEN. Gambaran Response Time dan Lama Triage di Instalasi Gawat Darurat (IGD) Rumah Sakit Baladhika Husada Jember. Universitas Jember; 2019.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8. </w:t>
      </w:r>
      <w:r w:rsidRPr="008E64B9">
        <w:rPr>
          <w:noProof/>
        </w:rPr>
        <w:tab/>
        <w:t xml:space="preserve">Istizhada AEN. Gambaran Respon Time dan Lama Triage di Instalasi Gawat Darurat Rumah Sakit Baladhika Husada Jember. Skripsi. 2019;1:119.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9. </w:t>
      </w:r>
      <w:r w:rsidRPr="008E64B9">
        <w:rPr>
          <w:noProof/>
        </w:rPr>
        <w:tab/>
        <w:t xml:space="preserve">Achmad Afandi, Lutfi WahyuniAH, . Hubungan Respon Time Perawat Dengan Tingkat Kecemasan Pasien Triase Kuning Di RSUD Wahidin Sudirohosodo </w:t>
      </w:r>
      <w:r w:rsidRPr="008E64B9">
        <w:rPr>
          <w:noProof/>
        </w:rPr>
        <w:lastRenderedPageBreak/>
        <w:t xml:space="preserve">Kota Mojekerto. J Penelit Keperawatan. 2018;3:12.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10. </w:t>
      </w:r>
      <w:r w:rsidRPr="008E64B9">
        <w:rPr>
          <w:noProof/>
        </w:rPr>
        <w:tab/>
        <w:t xml:space="preserve">Dwi Surtiningsih, Cipto Susilo MAH. Penerapan Response Time Perawat Dalam Pelaksanaan Penentuan Prioritas Penanganan Kegawatdaruratan Pada Pasien Kecelakaan Di Igd Rsd Balung. Indones J Heal Sci. 2016;6(2):124–32.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11. </w:t>
      </w:r>
      <w:r w:rsidRPr="008E64B9">
        <w:rPr>
          <w:noProof/>
        </w:rPr>
        <w:tab/>
        <w:t xml:space="preserve">Karokaro TM, Hayati K, Sitepu SDEU, Sitepu AL. Faktor – Faktor Yang Berhubungan Dengan Waktu Tanggap (Response Time) Pasien Di Instalasi Gawat Darurat Rumah Sakit Grandmed. J Keperawatan Dan Fisioter. 2020;2(2):172–80.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12. </w:t>
      </w:r>
      <w:r w:rsidRPr="008E64B9">
        <w:rPr>
          <w:noProof/>
        </w:rPr>
        <w:tab/>
        <w:t xml:space="preserve">Saho AM, Sulisna M, Wuryanto E. Kepercayaan Pasien Kepada Perawat dalam Menjalankan Perawatan dengan Tingkat Kecemasan Pasien di Bangsal Kelas 3 Rumah Sakit Umum Daerah Kota Semarang. J Chem Inf Model. 2011;4(1):30–46.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13. </w:t>
      </w:r>
      <w:r w:rsidRPr="008E64B9">
        <w:rPr>
          <w:noProof/>
        </w:rPr>
        <w:tab/>
        <w:t xml:space="preserve">Tumbuan F, Mulyadi N, Kallo V. Hubungan Komunikasi Terapeutik Perawat Dengan Tingkat Kepercayaan Keluarga Pasien Di Intensive Care Unit (Icu) Rsu Gmim Kalooran Amurang. J Keperawatan UNSRAT. 2017;5(1):112381.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14. </w:t>
      </w:r>
      <w:r w:rsidRPr="008E64B9">
        <w:rPr>
          <w:noProof/>
        </w:rPr>
        <w:tab/>
        <w:t xml:space="preserve">Ringu YT. Analisis Faktor yang Berhubungan dengan Response Time Perawat di IGD RSU Tipe C di Kupang Berdasarkan Teori Kinerja Gibson. Universitas Airlangga; 2017.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15. </w:t>
      </w:r>
      <w:r w:rsidRPr="008E64B9">
        <w:rPr>
          <w:noProof/>
        </w:rPr>
        <w:tab/>
        <w:t xml:space="preserve">Azrul A. Pengantar Administrasi Kesehatan. Jakarta: Binarupa Aksara. 2010. 123–142 p.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16. </w:t>
      </w:r>
      <w:r w:rsidRPr="008E64B9">
        <w:rPr>
          <w:noProof/>
        </w:rPr>
        <w:tab/>
        <w:t>Maryati K. Sosiologi : Jilid 1 [Internet]. Jakarta: Esis; 2007. Available from: https://books.google.com/books?id=LydffsORZZMC</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17. </w:t>
      </w:r>
      <w:r w:rsidRPr="008E64B9">
        <w:rPr>
          <w:noProof/>
        </w:rPr>
        <w:tab/>
        <w:t xml:space="preserve">Sarwono SW. Psikologi Umum. Jakarta: Rineka Cipta; 2012. 1–48 </w:t>
      </w:r>
      <w:r w:rsidRPr="008E64B9">
        <w:rPr>
          <w:noProof/>
        </w:rPr>
        <w:lastRenderedPageBreak/>
        <w:t xml:space="preserve">p.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18. </w:t>
      </w:r>
      <w:r w:rsidRPr="008E64B9">
        <w:rPr>
          <w:noProof/>
        </w:rPr>
        <w:tab/>
        <w:t xml:space="preserve">Kusumawinahyu DS. Hubungan Response Time Pelayanan Instalasi Gawat Darurat (IGD) dengan Tingkat Kepuasan Pasien di Rumah Sakit Islam Surakarta. Universitas Muhammadiyah Surakarta; 2016. </w:t>
      </w:r>
    </w:p>
    <w:p w:rsidR="008E64B9" w:rsidRPr="008E64B9" w:rsidRDefault="008E64B9" w:rsidP="008E64B9">
      <w:pPr>
        <w:widowControl w:val="0"/>
        <w:autoSpaceDE w:val="0"/>
        <w:autoSpaceDN w:val="0"/>
        <w:adjustRightInd w:val="0"/>
        <w:ind w:left="426" w:hanging="426"/>
        <w:jc w:val="both"/>
        <w:rPr>
          <w:noProof/>
        </w:rPr>
      </w:pPr>
      <w:r w:rsidRPr="008E64B9">
        <w:rPr>
          <w:noProof/>
        </w:rPr>
        <w:t xml:space="preserve">19. </w:t>
      </w:r>
      <w:r w:rsidRPr="008E64B9">
        <w:rPr>
          <w:noProof/>
        </w:rPr>
        <w:tab/>
        <w:t xml:space="preserve">Surtiningsih D, Cipto S, Hamid MA. Penerapan Response Time Perawat Dalam Pelaksanaan Penentuan Prioritas Penanganan Kegawatdaruratan Pada Pasien Kecelakaan Di Igd Rsd Balung. Indones J Heal Sci. 2016;6(2):124–32. </w:t>
      </w:r>
    </w:p>
    <w:p w:rsidR="00D461C1" w:rsidRPr="00E9486B" w:rsidRDefault="00440C50" w:rsidP="008E64B9">
      <w:pPr>
        <w:ind w:left="426" w:right="362" w:hanging="426"/>
        <w:jc w:val="both"/>
        <w:rPr>
          <w:rFonts w:eastAsia="Arial Unicode MS"/>
          <w:b/>
          <w:lang w:val="id-ID"/>
        </w:rPr>
      </w:pPr>
      <w:r>
        <w:rPr>
          <w:rFonts w:eastAsia="Arial Unicode MS"/>
          <w:b/>
          <w:lang w:val="id-ID"/>
        </w:rPr>
        <w:fldChar w:fldCharType="end"/>
      </w: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D461C1" w:rsidRPr="00E9486B" w:rsidRDefault="00D461C1" w:rsidP="00D461C1">
      <w:pPr>
        <w:ind w:right="362"/>
        <w:jc w:val="both"/>
        <w:rPr>
          <w:rFonts w:eastAsia="Arial Unicode MS"/>
          <w:b/>
          <w:lang w:val="id-ID"/>
        </w:rPr>
      </w:pPr>
    </w:p>
    <w:p w:rsidR="004A30B8" w:rsidRPr="00E9486B" w:rsidRDefault="004A30B8" w:rsidP="00906703"/>
    <w:sectPr w:rsidR="004A30B8" w:rsidRPr="00E9486B" w:rsidSect="008C3437">
      <w:headerReference w:type="default" r:id="rId11"/>
      <w:footerReference w:type="default" r:id="rId12"/>
      <w:pgSz w:w="11907" w:h="16839" w:code="9"/>
      <w:pgMar w:top="1535" w:right="1559" w:bottom="1701" w:left="198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05" w:rsidRDefault="00185405" w:rsidP="00D461C1">
      <w:r>
        <w:separator/>
      </w:r>
    </w:p>
  </w:endnote>
  <w:endnote w:type="continuationSeparator" w:id="1">
    <w:p w:rsidR="00185405" w:rsidRDefault="00185405" w:rsidP="00D461C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79150"/>
      <w:docPartObj>
        <w:docPartGallery w:val="Page Numbers (Bottom of Page)"/>
        <w:docPartUnique/>
      </w:docPartObj>
    </w:sdtPr>
    <w:sdtEndPr>
      <w:rPr>
        <w:sz w:val="20"/>
      </w:rPr>
    </w:sdtEndPr>
    <w:sdtContent>
      <w:p w:rsidR="00AB06A3" w:rsidRPr="00AB06A3" w:rsidRDefault="00906703" w:rsidP="00AB06A3">
        <w:pPr>
          <w:pStyle w:val="Footer"/>
          <w:jc w:val="right"/>
          <w:rPr>
            <w:sz w:val="20"/>
          </w:rPr>
        </w:pPr>
        <w:r w:rsidRPr="00041962">
          <w:rPr>
            <w:caps/>
            <w:color w:val="808080"/>
            <w:sz w:val="16"/>
            <w:szCs w:val="16"/>
          </w:rPr>
          <w:t xml:space="preserve">JURNAL ILMIAH KARYA KESEHATAN | VOLUME </w:t>
        </w:r>
        <w:r>
          <w:rPr>
            <w:caps/>
            <w:color w:val="808080"/>
            <w:sz w:val="16"/>
            <w:szCs w:val="16"/>
          </w:rPr>
          <w:t>03</w:t>
        </w:r>
        <w:r w:rsidRPr="00041962">
          <w:rPr>
            <w:caps/>
            <w:color w:val="808080"/>
            <w:sz w:val="16"/>
            <w:szCs w:val="16"/>
          </w:rPr>
          <w:t xml:space="preserve">| NOMOR </w:t>
        </w:r>
        <w:r>
          <w:rPr>
            <w:caps/>
            <w:color w:val="808080"/>
            <w:sz w:val="16"/>
            <w:szCs w:val="16"/>
          </w:rPr>
          <w:t>01</w:t>
        </w:r>
        <w:r w:rsidRPr="00041962">
          <w:rPr>
            <w:caps/>
            <w:color w:val="808080"/>
            <w:sz w:val="16"/>
            <w:szCs w:val="16"/>
          </w:rPr>
          <w:t xml:space="preserve"> | </w:t>
        </w:r>
        <w:r>
          <w:rPr>
            <w:caps/>
            <w:color w:val="808080"/>
            <w:sz w:val="16"/>
            <w:szCs w:val="16"/>
          </w:rPr>
          <w:t xml:space="preserve">NOVEMBER </w:t>
        </w:r>
        <w:r w:rsidRPr="00041962">
          <w:rPr>
            <w:caps/>
            <w:color w:val="808080"/>
            <w:sz w:val="16"/>
            <w:szCs w:val="16"/>
          </w:rPr>
          <w:t xml:space="preserve"> |</w:t>
        </w:r>
        <w:r>
          <w:rPr>
            <w:caps/>
            <w:color w:val="808080"/>
            <w:sz w:val="16"/>
            <w:szCs w:val="16"/>
          </w:rPr>
          <w:t>2022</w:t>
        </w:r>
        <w:r w:rsidR="00AB06A3">
          <w:rPr>
            <w:caps/>
            <w:color w:val="808080"/>
            <w:sz w:val="16"/>
            <w:szCs w:val="16"/>
          </w:rPr>
          <w:t xml:space="preserve">                                                                   </w:t>
        </w:r>
        <w:r w:rsidR="00AB06A3" w:rsidRPr="00AB06A3">
          <w:rPr>
            <w:sz w:val="20"/>
          </w:rPr>
          <w:fldChar w:fldCharType="begin"/>
        </w:r>
        <w:r w:rsidR="00AB06A3" w:rsidRPr="00AB06A3">
          <w:rPr>
            <w:sz w:val="20"/>
          </w:rPr>
          <w:instrText xml:space="preserve"> PAGE   \* MERGEFORMAT </w:instrText>
        </w:r>
        <w:r w:rsidR="00AB06A3" w:rsidRPr="00AB06A3">
          <w:rPr>
            <w:sz w:val="20"/>
          </w:rPr>
          <w:fldChar w:fldCharType="separate"/>
        </w:r>
        <w:r w:rsidR="008270C7">
          <w:rPr>
            <w:noProof/>
            <w:sz w:val="20"/>
          </w:rPr>
          <w:t>31</w:t>
        </w:r>
        <w:r w:rsidR="00AB06A3" w:rsidRPr="00AB06A3">
          <w:rPr>
            <w:sz w:val="20"/>
          </w:rPr>
          <w:fldChar w:fldCharType="end"/>
        </w:r>
      </w:p>
      <w:p w:rsidR="00906703" w:rsidRPr="00A80E8C" w:rsidRDefault="00AB06A3" w:rsidP="00906703">
        <w:pPr>
          <w:pStyle w:val="Footer"/>
          <w:rPr>
            <w:caps/>
            <w:color w:val="808080" w:themeColor="background1" w:themeShade="80"/>
            <w:sz w:val="16"/>
            <w:szCs w:val="16"/>
          </w:rPr>
        </w:pPr>
      </w:p>
    </w:sdtContent>
  </w:sdt>
  <w:p w:rsidR="00906703" w:rsidRDefault="00AB06A3">
    <w:pPr>
      <w:pStyle w:val="Footer"/>
    </w:pPr>
    <w:r>
      <w:softHyphen/>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20" w:rsidRPr="00906703" w:rsidRDefault="00906703" w:rsidP="00405320">
    <w:pPr>
      <w:pStyle w:val="Footer"/>
      <w:rPr>
        <w:caps/>
        <w:color w:val="808080" w:themeColor="background1" w:themeShade="80"/>
        <w:sz w:val="16"/>
        <w:szCs w:val="16"/>
      </w:rPr>
    </w:pPr>
    <w:r w:rsidRPr="00405320">
      <w:rPr>
        <w:caps/>
        <w:color w:val="808080"/>
        <w:sz w:val="14"/>
        <w:szCs w:val="16"/>
      </w:rPr>
      <w:t xml:space="preserve">JURNAL ILMIAH KARYA KESEHATAN | VOLUME 03| NOMOR 01 | </w:t>
    </w:r>
    <w:r w:rsidRPr="00405320">
      <w:rPr>
        <w:caps/>
        <w:color w:val="808080"/>
        <w:sz w:val="14"/>
        <w:szCs w:val="16"/>
      </w:rPr>
      <w:t xml:space="preserve">NOVEMBER                                                            </w:t>
    </w:r>
    <w:r w:rsidR="00405320">
      <w:rPr>
        <w:caps/>
        <w:color w:val="808080"/>
        <w:sz w:val="14"/>
        <w:szCs w:val="16"/>
      </w:rPr>
      <w:t xml:space="preserve">                             </w:t>
    </w:r>
    <w:r w:rsidRPr="00405320">
      <w:rPr>
        <w:caps/>
        <w:color w:val="808080"/>
        <w:sz w:val="14"/>
        <w:szCs w:val="16"/>
      </w:rPr>
      <w:t xml:space="preserve"> </w:t>
    </w:r>
    <w:r w:rsidR="00405320" w:rsidRPr="00405320">
      <w:rPr>
        <w:sz w:val="20"/>
      </w:rPr>
      <w:fldChar w:fldCharType="begin"/>
    </w:r>
    <w:r w:rsidR="00405320" w:rsidRPr="00405320">
      <w:rPr>
        <w:sz w:val="20"/>
      </w:rPr>
      <w:instrText xml:space="preserve"> PAGE   \* MERGEFORMAT </w:instrText>
    </w:r>
    <w:r w:rsidR="00405320" w:rsidRPr="00405320">
      <w:rPr>
        <w:sz w:val="20"/>
      </w:rPr>
      <w:fldChar w:fldCharType="separate"/>
    </w:r>
    <w:r w:rsidR="00A63A8F">
      <w:rPr>
        <w:noProof/>
        <w:sz w:val="20"/>
      </w:rPr>
      <w:t>32</w:t>
    </w:r>
    <w:r w:rsidR="00405320" w:rsidRPr="00405320">
      <w:rPr>
        <w:sz w:val="20"/>
      </w:rPr>
      <w:fldChar w:fldCharType="end"/>
    </w:r>
  </w:p>
  <w:p w:rsidR="00D461C1" w:rsidRPr="00906703" w:rsidRDefault="00405320" w:rsidP="00906703">
    <w:pPr>
      <w:pStyle w:val="Footer"/>
    </w:pPr>
    <w:r w:rsidRPr="00405320">
      <w:rPr>
        <w:sz w:val="20"/>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05" w:rsidRDefault="00185405" w:rsidP="00D461C1">
      <w:r>
        <w:separator/>
      </w:r>
    </w:p>
  </w:footnote>
  <w:footnote w:type="continuationSeparator" w:id="1">
    <w:p w:rsidR="00185405" w:rsidRDefault="00185405" w:rsidP="00D46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37" w:rsidRPr="00D359F2" w:rsidRDefault="008C3437" w:rsidP="008C3437">
    <w:pPr>
      <w:tabs>
        <w:tab w:val="left" w:pos="5205"/>
      </w:tabs>
      <w:jc w:val="both"/>
      <w:rPr>
        <w:rFonts w:eastAsia="Arial Unicode MS"/>
        <w:i/>
        <w:color w:val="BFBFBF" w:themeColor="background1" w:themeShade="BF"/>
        <w:sz w:val="20"/>
      </w:rPr>
    </w:pPr>
    <w:r w:rsidRPr="00D359F2">
      <w:rPr>
        <w:rFonts w:eastAsia="Arial Unicode MS"/>
        <w:i/>
        <w:color w:val="BFBFBF" w:themeColor="background1" w:themeShade="BF"/>
        <w:sz w:val="20"/>
      </w:rPr>
      <w:t>Iskandar Harun Pratama</w:t>
    </w:r>
    <w:r w:rsidRPr="00D359F2">
      <w:rPr>
        <w:rFonts w:eastAsia="Arial Unicode MS"/>
        <w:i/>
        <w:color w:val="BFBFBF" w:themeColor="background1" w:themeShade="BF"/>
        <w:sz w:val="20"/>
        <w:vertAlign w:val="superscript"/>
        <w:lang w:val="id-ID"/>
      </w:rPr>
      <w:t>1</w:t>
    </w:r>
    <w:r w:rsidRPr="00D359F2">
      <w:rPr>
        <w:rFonts w:eastAsia="Arial Unicode MS"/>
        <w:i/>
        <w:color w:val="BFBFBF" w:themeColor="background1" w:themeShade="BF"/>
        <w:sz w:val="20"/>
      </w:rPr>
      <w:t xml:space="preserve">, </w:t>
    </w:r>
    <w:r w:rsidRPr="00D359F2">
      <w:rPr>
        <w:i/>
        <w:color w:val="BFBFBF" w:themeColor="background1" w:themeShade="BF"/>
        <w:sz w:val="20"/>
      </w:rPr>
      <w:t>I Wayan Romantika</w:t>
    </w:r>
    <w:r w:rsidRPr="00D359F2">
      <w:rPr>
        <w:i/>
        <w:color w:val="BFBFBF" w:themeColor="background1" w:themeShade="BF"/>
        <w:sz w:val="20"/>
        <w:vertAlign w:val="superscript"/>
      </w:rPr>
      <w:t>2</w:t>
    </w:r>
    <w:r w:rsidRPr="00D359F2">
      <w:rPr>
        <w:i/>
        <w:color w:val="BFBFBF" w:themeColor="background1" w:themeShade="BF"/>
        <w:sz w:val="20"/>
      </w:rPr>
      <w:t xml:space="preserve">, </w:t>
    </w:r>
    <w:r w:rsidRPr="00D359F2">
      <w:rPr>
        <w:i/>
        <w:color w:val="BFBFBF" w:themeColor="background1" w:themeShade="BF"/>
        <w:sz w:val="20"/>
        <w:szCs w:val="32"/>
      </w:rPr>
      <w:t>Ellyani Abadi</w:t>
    </w:r>
    <w:r w:rsidRPr="00D359F2">
      <w:rPr>
        <w:i/>
        <w:color w:val="BFBFBF" w:themeColor="background1" w:themeShade="BF"/>
        <w:sz w:val="20"/>
        <w:vertAlign w:val="superscript"/>
      </w:rPr>
      <w:t xml:space="preserve">2. </w:t>
    </w:r>
    <w:r w:rsidRPr="00D359F2">
      <w:rPr>
        <w:i/>
        <w:color w:val="BFBFBF" w:themeColor="background1" w:themeShade="BF"/>
        <w:sz w:val="20"/>
      </w:rPr>
      <w:t xml:space="preserve">Hubungan Respon Time Perawat dengan Kepercayaan Keluarga Pasien Triase Kuning di Ruang Instalasi Gawat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F37"/>
    <w:multiLevelType w:val="hybridMultilevel"/>
    <w:tmpl w:val="9ECA344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nsid w:val="11941F09"/>
    <w:multiLevelType w:val="hybridMultilevel"/>
    <w:tmpl w:val="C8587A0A"/>
    <w:lvl w:ilvl="0" w:tplc="5686E59C">
      <w:start w:val="1"/>
      <w:numFmt w:val="decimal"/>
      <w:lvlText w:val="%1."/>
      <w:lvlJc w:val="left"/>
      <w:pPr>
        <w:ind w:left="1854" w:hanging="360"/>
      </w:pPr>
      <w:rPr>
        <w:rFonts w:ascii="Arial Narrow" w:hAnsi="Arial Narrow" w:hint="default"/>
        <w:sz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
    <w:nsid w:val="33272442"/>
    <w:multiLevelType w:val="hybridMultilevel"/>
    <w:tmpl w:val="BE3EC6F4"/>
    <w:lvl w:ilvl="0" w:tplc="0409000F">
      <w:start w:val="1"/>
      <w:numFmt w:val="decimal"/>
      <w:lvlText w:val="%1."/>
      <w:lvlJc w:val="left"/>
      <w:pPr>
        <w:ind w:left="2149" w:hanging="360"/>
      </w:p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start w:val="1"/>
      <w:numFmt w:val="lowerLetter"/>
      <w:lvlText w:val="%5."/>
      <w:lvlJc w:val="left"/>
      <w:pPr>
        <w:ind w:left="5029" w:hanging="360"/>
      </w:pPr>
    </w:lvl>
    <w:lvl w:ilvl="5" w:tplc="0409001B">
      <w:start w:val="1"/>
      <w:numFmt w:val="lowerRoman"/>
      <w:lvlText w:val="%6."/>
      <w:lvlJc w:val="right"/>
      <w:pPr>
        <w:ind w:left="5749" w:hanging="180"/>
      </w:pPr>
    </w:lvl>
    <w:lvl w:ilvl="6" w:tplc="0409000F">
      <w:start w:val="1"/>
      <w:numFmt w:val="decimal"/>
      <w:lvlText w:val="%7."/>
      <w:lvlJc w:val="left"/>
      <w:pPr>
        <w:ind w:left="6469" w:hanging="360"/>
      </w:pPr>
    </w:lvl>
    <w:lvl w:ilvl="7" w:tplc="04090019">
      <w:start w:val="1"/>
      <w:numFmt w:val="lowerLetter"/>
      <w:lvlText w:val="%8."/>
      <w:lvlJc w:val="left"/>
      <w:pPr>
        <w:ind w:left="7189" w:hanging="360"/>
      </w:pPr>
    </w:lvl>
    <w:lvl w:ilvl="8" w:tplc="0409001B">
      <w:start w:val="1"/>
      <w:numFmt w:val="lowerRoman"/>
      <w:lvlText w:val="%9."/>
      <w:lvlJc w:val="right"/>
      <w:pPr>
        <w:ind w:left="7909" w:hanging="180"/>
      </w:pPr>
    </w:lvl>
  </w:abstractNum>
  <w:abstractNum w:abstractNumId="3">
    <w:nsid w:val="5E1D4AAE"/>
    <w:multiLevelType w:val="hybridMultilevel"/>
    <w:tmpl w:val="377C2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9075D"/>
    <w:rsid w:val="00000527"/>
    <w:rsid w:val="00037AA6"/>
    <w:rsid w:val="00134C02"/>
    <w:rsid w:val="00185053"/>
    <w:rsid w:val="00185405"/>
    <w:rsid w:val="001D34E9"/>
    <w:rsid w:val="00246B73"/>
    <w:rsid w:val="00345538"/>
    <w:rsid w:val="00351BCC"/>
    <w:rsid w:val="0037418B"/>
    <w:rsid w:val="003D3832"/>
    <w:rsid w:val="00405320"/>
    <w:rsid w:val="00440C50"/>
    <w:rsid w:val="004541DB"/>
    <w:rsid w:val="004A30B8"/>
    <w:rsid w:val="004B27F7"/>
    <w:rsid w:val="004C5BDC"/>
    <w:rsid w:val="00554AB2"/>
    <w:rsid w:val="00564A27"/>
    <w:rsid w:val="00673298"/>
    <w:rsid w:val="006745BA"/>
    <w:rsid w:val="0068774C"/>
    <w:rsid w:val="006C1B90"/>
    <w:rsid w:val="00725851"/>
    <w:rsid w:val="00783827"/>
    <w:rsid w:val="008270C7"/>
    <w:rsid w:val="00832B20"/>
    <w:rsid w:val="00881D7F"/>
    <w:rsid w:val="008C3437"/>
    <w:rsid w:val="008E64B9"/>
    <w:rsid w:val="00906703"/>
    <w:rsid w:val="00971E06"/>
    <w:rsid w:val="00A63A8F"/>
    <w:rsid w:val="00A875E0"/>
    <w:rsid w:val="00A94D63"/>
    <w:rsid w:val="00AB06A3"/>
    <w:rsid w:val="00AB62D2"/>
    <w:rsid w:val="00AD6A2E"/>
    <w:rsid w:val="00AE0207"/>
    <w:rsid w:val="00B52B01"/>
    <w:rsid w:val="00C348A2"/>
    <w:rsid w:val="00C52E85"/>
    <w:rsid w:val="00C648FB"/>
    <w:rsid w:val="00CD690F"/>
    <w:rsid w:val="00CF4C57"/>
    <w:rsid w:val="00D359F2"/>
    <w:rsid w:val="00D461C1"/>
    <w:rsid w:val="00DA7085"/>
    <w:rsid w:val="00DB3AF5"/>
    <w:rsid w:val="00E9075D"/>
    <w:rsid w:val="00E9486B"/>
    <w:rsid w:val="00F21C26"/>
    <w:rsid w:val="00F73124"/>
    <w:rsid w:val="00FB2D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Straight Arrow Connector 4"/>
        <o:r id="V:Rule5" type="connector" idref="#Straight Arrow Connector 1"/>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2D8D"/>
    <w:pPr>
      <w:keepNext/>
      <w:spacing w:before="240" w:after="60" w:line="276" w:lineRule="auto"/>
      <w:jc w:val="center"/>
      <w:outlineLvl w:val="0"/>
    </w:pPr>
    <w:rPr>
      <w:rFonts w:ascii="Arial Narrow" w:hAnsi="Arial Narrow"/>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5D"/>
    <w:rPr>
      <w:rFonts w:ascii="Tahoma" w:hAnsi="Tahoma" w:cs="Tahoma"/>
      <w:sz w:val="16"/>
      <w:szCs w:val="16"/>
    </w:rPr>
  </w:style>
  <w:style w:type="character" w:customStyle="1" w:styleId="BalloonTextChar">
    <w:name w:val="Balloon Text Char"/>
    <w:basedOn w:val="DefaultParagraphFont"/>
    <w:link w:val="BalloonText"/>
    <w:uiPriority w:val="99"/>
    <w:semiHidden/>
    <w:rsid w:val="00E9075D"/>
    <w:rPr>
      <w:rFonts w:ascii="Tahoma" w:eastAsia="Times New Roman" w:hAnsi="Tahoma" w:cs="Tahoma"/>
      <w:sz w:val="16"/>
      <w:szCs w:val="16"/>
    </w:rPr>
  </w:style>
  <w:style w:type="paragraph" w:styleId="ListParagraph">
    <w:name w:val="List Paragraph"/>
    <w:aliases w:val="Body of text,List Paragraph1,Colorful List - Accent 11,UGEX'Z,Heading 1 Char1"/>
    <w:basedOn w:val="Normal"/>
    <w:link w:val="ListParagraphChar"/>
    <w:uiPriority w:val="34"/>
    <w:qFormat/>
    <w:rsid w:val="00185053"/>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List Paragraph1 Char,Colorful List - Accent 11 Char,UGEX'Z Char,Heading 1 Char1 Char"/>
    <w:link w:val="ListParagraph"/>
    <w:uiPriority w:val="34"/>
    <w:rsid w:val="00185053"/>
    <w:rPr>
      <w:rFonts w:ascii="Calibri" w:eastAsia="Times New Roman" w:hAnsi="Calibri" w:cs="Times New Roman"/>
    </w:rPr>
  </w:style>
  <w:style w:type="paragraph" w:styleId="Header">
    <w:name w:val="header"/>
    <w:basedOn w:val="Normal"/>
    <w:link w:val="HeaderChar"/>
    <w:uiPriority w:val="99"/>
    <w:unhideWhenUsed/>
    <w:rsid w:val="00D461C1"/>
    <w:pPr>
      <w:tabs>
        <w:tab w:val="center" w:pos="4680"/>
        <w:tab w:val="right" w:pos="9360"/>
      </w:tabs>
    </w:pPr>
  </w:style>
  <w:style w:type="character" w:customStyle="1" w:styleId="HeaderChar">
    <w:name w:val="Header Char"/>
    <w:basedOn w:val="DefaultParagraphFont"/>
    <w:link w:val="Header"/>
    <w:uiPriority w:val="99"/>
    <w:rsid w:val="00D46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1C1"/>
    <w:pPr>
      <w:tabs>
        <w:tab w:val="center" w:pos="4680"/>
        <w:tab w:val="right" w:pos="9360"/>
      </w:tabs>
    </w:pPr>
  </w:style>
  <w:style w:type="character" w:customStyle="1" w:styleId="FooterChar">
    <w:name w:val="Footer Char"/>
    <w:basedOn w:val="DefaultParagraphFont"/>
    <w:link w:val="Footer"/>
    <w:uiPriority w:val="99"/>
    <w:rsid w:val="00D461C1"/>
    <w:rPr>
      <w:rFonts w:ascii="Times New Roman" w:eastAsia="Times New Roman" w:hAnsi="Times New Roman" w:cs="Times New Roman"/>
      <w:sz w:val="24"/>
      <w:szCs w:val="24"/>
    </w:rPr>
  </w:style>
  <w:style w:type="character" w:styleId="Hyperlink">
    <w:name w:val="Hyperlink"/>
    <w:uiPriority w:val="99"/>
    <w:unhideWhenUsed/>
    <w:rsid w:val="00D461C1"/>
    <w:rPr>
      <w:color w:val="0000FF"/>
      <w:u w:val="single"/>
    </w:rPr>
  </w:style>
  <w:style w:type="character" w:customStyle="1" w:styleId="fontstyle01">
    <w:name w:val="fontstyle01"/>
    <w:basedOn w:val="DefaultParagraphFont"/>
    <w:rsid w:val="00D461C1"/>
    <w:rPr>
      <w:rFonts w:ascii="Times New Roman" w:hAnsi="Times New Roman" w:cs="Times New Roman" w:hint="default"/>
      <w:b w:val="0"/>
      <w:bCs w:val="0"/>
      <w:i w:val="0"/>
      <w:iCs w:val="0"/>
      <w:color w:val="000000"/>
      <w:sz w:val="24"/>
      <w:szCs w:val="24"/>
    </w:rPr>
  </w:style>
  <w:style w:type="paragraph" w:customStyle="1" w:styleId="Default">
    <w:name w:val="Default"/>
    <w:rsid w:val="00AE020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99"/>
    <w:unhideWhenUsed/>
    <w:rsid w:val="00AE020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E0207"/>
  </w:style>
  <w:style w:type="character" w:customStyle="1" w:styleId="fontstyle21">
    <w:name w:val="fontstyle21"/>
    <w:basedOn w:val="DefaultParagraphFont"/>
    <w:rsid w:val="00AE0207"/>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FB2D8D"/>
    <w:rPr>
      <w:rFonts w:ascii="Arial Narrow" w:eastAsia="Times New Roman" w:hAnsi="Arial Narrow" w:cs="Times New Roman"/>
      <w:b/>
      <w:bCs/>
      <w:kern w:val="32"/>
      <w:sz w:val="24"/>
      <w:szCs w:val="32"/>
    </w:rPr>
  </w:style>
  <w:style w:type="table" w:styleId="TableGrid">
    <w:name w:val="Table Grid"/>
    <w:basedOn w:val="TableNormal"/>
    <w:uiPriority w:val="59"/>
    <w:rsid w:val="00FB2D8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9486B"/>
    <w:rPr>
      <w:vertAlign w:val="superscript"/>
    </w:rPr>
  </w:style>
</w:styles>
</file>

<file path=word/webSettings.xml><?xml version="1.0" encoding="utf-8"?>
<w:webSettings xmlns:r="http://schemas.openxmlformats.org/officeDocument/2006/relationships" xmlns:w="http://schemas.openxmlformats.org/wordprocessingml/2006/main">
  <w:divs>
    <w:div w:id="40442799">
      <w:bodyDiv w:val="1"/>
      <w:marLeft w:val="0"/>
      <w:marRight w:val="0"/>
      <w:marTop w:val="0"/>
      <w:marBottom w:val="0"/>
      <w:divBdr>
        <w:top w:val="none" w:sz="0" w:space="0" w:color="auto"/>
        <w:left w:val="none" w:sz="0" w:space="0" w:color="auto"/>
        <w:bottom w:val="none" w:sz="0" w:space="0" w:color="auto"/>
        <w:right w:val="none" w:sz="0" w:space="0" w:color="auto"/>
      </w:divBdr>
    </w:div>
    <w:div w:id="178934948">
      <w:bodyDiv w:val="1"/>
      <w:marLeft w:val="0"/>
      <w:marRight w:val="0"/>
      <w:marTop w:val="0"/>
      <w:marBottom w:val="0"/>
      <w:divBdr>
        <w:top w:val="none" w:sz="0" w:space="0" w:color="auto"/>
        <w:left w:val="none" w:sz="0" w:space="0" w:color="auto"/>
        <w:bottom w:val="none" w:sz="0" w:space="0" w:color="auto"/>
        <w:right w:val="none" w:sz="0" w:space="0" w:color="auto"/>
      </w:divBdr>
    </w:div>
    <w:div w:id="316760849">
      <w:bodyDiv w:val="1"/>
      <w:marLeft w:val="0"/>
      <w:marRight w:val="0"/>
      <w:marTop w:val="0"/>
      <w:marBottom w:val="0"/>
      <w:divBdr>
        <w:top w:val="none" w:sz="0" w:space="0" w:color="auto"/>
        <w:left w:val="none" w:sz="0" w:space="0" w:color="auto"/>
        <w:bottom w:val="none" w:sz="0" w:space="0" w:color="auto"/>
        <w:right w:val="none" w:sz="0" w:space="0" w:color="auto"/>
      </w:divBdr>
    </w:div>
    <w:div w:id="350035436">
      <w:bodyDiv w:val="1"/>
      <w:marLeft w:val="0"/>
      <w:marRight w:val="0"/>
      <w:marTop w:val="0"/>
      <w:marBottom w:val="0"/>
      <w:divBdr>
        <w:top w:val="none" w:sz="0" w:space="0" w:color="auto"/>
        <w:left w:val="none" w:sz="0" w:space="0" w:color="auto"/>
        <w:bottom w:val="none" w:sz="0" w:space="0" w:color="auto"/>
        <w:right w:val="none" w:sz="0" w:space="0" w:color="auto"/>
      </w:divBdr>
    </w:div>
    <w:div w:id="547962322">
      <w:bodyDiv w:val="1"/>
      <w:marLeft w:val="0"/>
      <w:marRight w:val="0"/>
      <w:marTop w:val="0"/>
      <w:marBottom w:val="0"/>
      <w:divBdr>
        <w:top w:val="none" w:sz="0" w:space="0" w:color="auto"/>
        <w:left w:val="none" w:sz="0" w:space="0" w:color="auto"/>
        <w:bottom w:val="none" w:sz="0" w:space="0" w:color="auto"/>
        <w:right w:val="none" w:sz="0" w:space="0" w:color="auto"/>
      </w:divBdr>
    </w:div>
    <w:div w:id="592249370">
      <w:bodyDiv w:val="1"/>
      <w:marLeft w:val="0"/>
      <w:marRight w:val="0"/>
      <w:marTop w:val="0"/>
      <w:marBottom w:val="0"/>
      <w:divBdr>
        <w:top w:val="none" w:sz="0" w:space="0" w:color="auto"/>
        <w:left w:val="none" w:sz="0" w:space="0" w:color="auto"/>
        <w:bottom w:val="none" w:sz="0" w:space="0" w:color="auto"/>
        <w:right w:val="none" w:sz="0" w:space="0" w:color="auto"/>
      </w:divBdr>
    </w:div>
    <w:div w:id="833453731">
      <w:bodyDiv w:val="1"/>
      <w:marLeft w:val="0"/>
      <w:marRight w:val="0"/>
      <w:marTop w:val="0"/>
      <w:marBottom w:val="0"/>
      <w:divBdr>
        <w:top w:val="none" w:sz="0" w:space="0" w:color="auto"/>
        <w:left w:val="none" w:sz="0" w:space="0" w:color="auto"/>
        <w:bottom w:val="none" w:sz="0" w:space="0" w:color="auto"/>
        <w:right w:val="none" w:sz="0" w:space="0" w:color="auto"/>
      </w:divBdr>
    </w:div>
    <w:div w:id="894320951">
      <w:bodyDiv w:val="1"/>
      <w:marLeft w:val="0"/>
      <w:marRight w:val="0"/>
      <w:marTop w:val="0"/>
      <w:marBottom w:val="0"/>
      <w:divBdr>
        <w:top w:val="none" w:sz="0" w:space="0" w:color="auto"/>
        <w:left w:val="none" w:sz="0" w:space="0" w:color="auto"/>
        <w:bottom w:val="none" w:sz="0" w:space="0" w:color="auto"/>
        <w:right w:val="none" w:sz="0" w:space="0" w:color="auto"/>
      </w:divBdr>
    </w:div>
    <w:div w:id="1270044492">
      <w:bodyDiv w:val="1"/>
      <w:marLeft w:val="0"/>
      <w:marRight w:val="0"/>
      <w:marTop w:val="0"/>
      <w:marBottom w:val="0"/>
      <w:divBdr>
        <w:top w:val="none" w:sz="0" w:space="0" w:color="auto"/>
        <w:left w:val="none" w:sz="0" w:space="0" w:color="auto"/>
        <w:bottom w:val="none" w:sz="0" w:space="0" w:color="auto"/>
        <w:right w:val="none" w:sz="0" w:space="0" w:color="auto"/>
      </w:divBdr>
    </w:div>
    <w:div w:id="1301570542">
      <w:bodyDiv w:val="1"/>
      <w:marLeft w:val="0"/>
      <w:marRight w:val="0"/>
      <w:marTop w:val="0"/>
      <w:marBottom w:val="0"/>
      <w:divBdr>
        <w:top w:val="none" w:sz="0" w:space="0" w:color="auto"/>
        <w:left w:val="none" w:sz="0" w:space="0" w:color="auto"/>
        <w:bottom w:val="none" w:sz="0" w:space="0" w:color="auto"/>
        <w:right w:val="none" w:sz="0" w:space="0" w:color="auto"/>
      </w:divBdr>
    </w:div>
    <w:div w:id="1438133673">
      <w:bodyDiv w:val="1"/>
      <w:marLeft w:val="0"/>
      <w:marRight w:val="0"/>
      <w:marTop w:val="0"/>
      <w:marBottom w:val="0"/>
      <w:divBdr>
        <w:top w:val="none" w:sz="0" w:space="0" w:color="auto"/>
        <w:left w:val="none" w:sz="0" w:space="0" w:color="auto"/>
        <w:bottom w:val="none" w:sz="0" w:space="0" w:color="auto"/>
        <w:right w:val="none" w:sz="0" w:space="0" w:color="auto"/>
      </w:divBdr>
    </w:div>
    <w:div w:id="1752892126">
      <w:bodyDiv w:val="1"/>
      <w:marLeft w:val="0"/>
      <w:marRight w:val="0"/>
      <w:marTop w:val="0"/>
      <w:marBottom w:val="0"/>
      <w:divBdr>
        <w:top w:val="none" w:sz="0" w:space="0" w:color="auto"/>
        <w:left w:val="none" w:sz="0" w:space="0" w:color="auto"/>
        <w:bottom w:val="none" w:sz="0" w:space="0" w:color="auto"/>
        <w:right w:val="none" w:sz="0" w:space="0" w:color="auto"/>
      </w:divBdr>
    </w:div>
    <w:div w:id="1935430646">
      <w:bodyDiv w:val="1"/>
      <w:marLeft w:val="0"/>
      <w:marRight w:val="0"/>
      <w:marTop w:val="0"/>
      <w:marBottom w:val="0"/>
      <w:divBdr>
        <w:top w:val="none" w:sz="0" w:space="0" w:color="auto"/>
        <w:left w:val="none" w:sz="0" w:space="0" w:color="auto"/>
        <w:bottom w:val="none" w:sz="0" w:space="0" w:color="auto"/>
        <w:right w:val="none" w:sz="0" w:space="0" w:color="auto"/>
      </w:divBdr>
    </w:div>
    <w:div w:id="20788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ikesks-kendari.e-journal.id/J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FC8236-2C7F-4D8F-AD71-41CF4426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7597</Words>
  <Characters>43307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ASUS</cp:lastModifiedBy>
  <cp:revision>23</cp:revision>
  <cp:lastPrinted>2019-10-11T06:04:00Z</cp:lastPrinted>
  <dcterms:created xsi:type="dcterms:W3CDTF">2020-09-30T05:20:00Z</dcterms:created>
  <dcterms:modified xsi:type="dcterms:W3CDTF">2022-12-18T05:20:00Z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https://csl.mendeley.com/styles/517037651/vancouverkarkes</vt:lpwstr>
  </property>
  <property fmtid="{D5CDD505-2E9C-101B-9397-08002B2CF9AE}" pid="21" name="Mendeley Recent Style Name 9_1">
    <vt:lpwstr>Vancouver - Ode</vt:lpwstr>
  </property>
  <property fmtid="{D5CDD505-2E9C-101B-9397-08002B2CF9AE}" pid="22" name="Mendeley Document_1">
    <vt:lpwstr>True</vt:lpwstr>
  </property>
  <property fmtid="{D5CDD505-2E9C-101B-9397-08002B2CF9AE}" pid="23" name="Mendeley Unique User Id_1">
    <vt:lpwstr>8b440339-806d-32a8-bea8-2178c4a1ff96</vt:lpwstr>
  </property>
  <property fmtid="{D5CDD505-2E9C-101B-9397-08002B2CF9AE}" pid="24" name="Mendeley Citation Style_1">
    <vt:lpwstr>https://csl.mendeley.com/styles/517037651/vancouverkarkes</vt:lpwstr>
  </property>
</Properties>
</file>